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6BAA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0EF32F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41CCFB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67.080.10</w:t>
            </w:r>
            <w:r>
              <w:rPr>
                <w:rFonts w:ascii="黑体" w:hAnsi="黑体" w:eastAsia="黑体"/>
                <w:sz w:val="21"/>
                <w:szCs w:val="21"/>
              </w:rPr>
              <w:t>     </w:t>
            </w:r>
            <w:r>
              <w:rPr>
                <w:rFonts w:ascii="黑体" w:hAnsi="黑体" w:eastAsia="黑体"/>
                <w:sz w:val="21"/>
                <w:szCs w:val="21"/>
              </w:rPr>
              <w:fldChar w:fldCharType="end"/>
            </w:r>
            <w:bookmarkEnd w:id="0"/>
          </w:p>
        </w:tc>
      </w:tr>
      <w:tr w14:paraId="4D282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149E74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8F8802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65BBE02D">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CNCAIA</w:t>
                  </w:r>
                  <w:r>
                    <w:fldChar w:fldCharType="end"/>
                  </w:r>
                  <w:bookmarkEnd w:id="1"/>
                </w:p>
              </w:tc>
            </w:tr>
          </w:tbl>
          <w:p w14:paraId="4769696B">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t>     </w:t>
            </w:r>
            <w:r>
              <w:rPr>
                <w:rFonts w:ascii="黑体" w:hAnsi="黑体" w:eastAsia="黑体"/>
                <w:sz w:val="21"/>
                <w:szCs w:val="21"/>
              </w:rPr>
              <w:fldChar w:fldCharType="end"/>
            </w:r>
            <w:bookmarkEnd w:id="2"/>
          </w:p>
        </w:tc>
      </w:tr>
    </w:tbl>
    <w:p w14:paraId="6C5BE607">
      <w:pPr>
        <w:pStyle w:val="50"/>
        <w:framePr w:w="9639" w:h="624" w:hRule="exact" w:hSpace="181" w:vSpace="181"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中国苹果产业协会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2C882748">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CNCAIA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rPr>
        <w:t>0013</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2026</w:t>
      </w:r>
      <w:r>
        <w:fldChar w:fldCharType="end"/>
      </w:r>
      <w:bookmarkEnd w:id="7"/>
    </w:p>
    <w:p w14:paraId="7CD799C7">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624956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EE7A3D8">
      <w:pPr>
        <w:pStyle w:val="50"/>
        <w:framePr w:w="9639" w:h="6976" w:hRule="exact" w:hSpace="0" w:vSpace="0" w:hAnchor="page" w:y="6408"/>
        <w:jc w:val="center"/>
        <w:rPr>
          <w:rFonts w:ascii="黑体" w:hAnsi="黑体" w:eastAsia="黑体"/>
          <w:b w:val="0"/>
          <w:bCs w:val="0"/>
          <w:w w:val="100"/>
        </w:rPr>
      </w:pPr>
    </w:p>
    <w:p w14:paraId="52F6005F">
      <w:pPr>
        <w:pStyle w:val="197"/>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瑞雪苹果等级</w:t>
      </w:r>
      <w:r>
        <w:rPr>
          <w:rFonts w:hint="eastAsia"/>
          <w:lang w:eastAsia="zh-CN"/>
        </w:rPr>
        <w:t>和</w:t>
      </w:r>
      <w:r>
        <w:t>规格</w:t>
      </w:r>
      <w:r>
        <w:fldChar w:fldCharType="end"/>
      </w:r>
      <w:bookmarkEnd w:id="9"/>
    </w:p>
    <w:p w14:paraId="7647D6C7">
      <w:pPr>
        <w:framePr w:w="9639" w:h="6974" w:hRule="exact" w:wrap="around" w:vAnchor="page" w:hAnchor="page" w:x="1419" w:y="6408" w:anchorLock="1"/>
        <w:ind w:left="-1418"/>
      </w:pPr>
    </w:p>
    <w:p w14:paraId="233F87D3">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Grades and specifications</w:t>
      </w:r>
      <w:r>
        <w:rPr>
          <w:rFonts w:eastAsia="黑体"/>
          <w:szCs w:val="28"/>
        </w:rPr>
        <w:t xml:space="preserve"> of Ruixue Apple</w:t>
      </w:r>
      <w:r>
        <w:rPr>
          <w:rFonts w:eastAsia="黑体"/>
          <w:szCs w:val="28"/>
        </w:rPr>
        <w:fldChar w:fldCharType="end"/>
      </w:r>
      <w:bookmarkEnd w:id="10"/>
    </w:p>
    <w:p w14:paraId="233C70A8">
      <w:pPr>
        <w:framePr w:w="9639" w:h="6974" w:hRule="exact" w:wrap="around" w:vAnchor="page" w:hAnchor="page" w:x="1419" w:y="6408" w:anchorLock="1"/>
        <w:spacing w:line="760" w:lineRule="exact"/>
        <w:ind w:left="-1418"/>
      </w:pPr>
    </w:p>
    <w:p w14:paraId="41C449D5">
      <w:pPr>
        <w:pStyle w:val="125"/>
        <w:framePr w:w="9639" w:h="6974" w:hRule="exact" w:wrap="around" w:vAnchor="page" w:hAnchor="page" w:x="1419" w:y="6408" w:anchorLock="1"/>
        <w:textAlignment w:val="bottom"/>
        <w:rPr>
          <w:rFonts w:eastAsia="黑体"/>
          <w:szCs w:val="28"/>
        </w:rPr>
      </w:pPr>
    </w:p>
    <w:p w14:paraId="5C47647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ADEB06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E93941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CFD5EE1">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73D9389">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AAE31ED">
      <w:pPr>
        <w:pStyle w:val="151"/>
        <w:framePr w:h="584" w:hRule="exact" w:hSpace="181" w:vSpace="181"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中国苹果产业协会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5DC7ACB">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4D9B3C8">
      <w:pPr>
        <w:pStyle w:val="89"/>
        <w:spacing w:before="560" w:after="360"/>
      </w:pPr>
      <w:bookmarkStart w:id="21" w:name="BookMark2"/>
      <w:r>
        <w:rPr>
          <w:rFonts w:hint="eastAsia"/>
          <w:spacing w:val="320"/>
        </w:rPr>
        <w:t>前</w:t>
      </w:r>
      <w:r>
        <w:rPr>
          <w:rFonts w:hint="eastAsia"/>
        </w:rPr>
        <w:t>言</w:t>
      </w:r>
    </w:p>
    <w:p w14:paraId="04D20B50">
      <w:pPr>
        <w:pStyle w:val="56"/>
        <w:ind w:firstLine="420"/>
        <w:rPr>
          <w:rFonts w:hint="eastAsia"/>
        </w:rPr>
      </w:pPr>
      <w:r>
        <w:rPr>
          <w:rFonts w:hint="eastAsia"/>
        </w:rPr>
        <w:t>本文件按照GB/T 1.1—2020《标准化工作导则  第1部分：标准化文件的结构和起草规则》的规定起草。</w:t>
      </w:r>
    </w:p>
    <w:p w14:paraId="2D638E06">
      <w:pPr>
        <w:pStyle w:val="56"/>
        <w:ind w:firstLine="420"/>
        <w:rPr>
          <w:rFonts w:hint="eastAsia"/>
        </w:rPr>
      </w:pPr>
      <w:r>
        <w:rPr>
          <w:rFonts w:hint="eastAsia"/>
        </w:rPr>
        <w:t>请注意本文件的某些内容可能涉及专利。本文件的发布机构不承担识别专利的责任。</w:t>
      </w:r>
    </w:p>
    <w:p w14:paraId="54C7CF18">
      <w:pPr>
        <w:pStyle w:val="56"/>
        <w:ind w:firstLine="420"/>
        <w:rPr>
          <w:rFonts w:hint="eastAsia"/>
        </w:rPr>
      </w:pPr>
      <w:r>
        <w:rPr>
          <w:rFonts w:hint="eastAsia"/>
        </w:rPr>
        <w:t>本文件由杨凌西农瑞雪瑞阳苹果发展联合会提出。</w:t>
      </w:r>
    </w:p>
    <w:p w14:paraId="6E538949">
      <w:pPr>
        <w:pStyle w:val="56"/>
        <w:ind w:firstLine="420"/>
        <w:rPr>
          <w:rFonts w:hint="eastAsia"/>
        </w:rPr>
      </w:pPr>
      <w:r>
        <w:rPr>
          <w:rFonts w:hint="eastAsia"/>
        </w:rPr>
        <w:t>本文件由中国苹果产业协会归口。</w:t>
      </w:r>
    </w:p>
    <w:p w14:paraId="54B868FE">
      <w:pPr>
        <w:pStyle w:val="56"/>
        <w:ind w:firstLine="420"/>
        <w:rPr>
          <w:rFonts w:hint="eastAsia"/>
        </w:rPr>
      </w:pPr>
      <w:r>
        <w:rPr>
          <w:rFonts w:hint="eastAsia"/>
        </w:rPr>
        <w:t>本文件起草单位：</w:t>
      </w:r>
    </w:p>
    <w:p w14:paraId="216D0458">
      <w:pPr>
        <w:pStyle w:val="56"/>
        <w:ind w:firstLine="420"/>
        <w:rPr>
          <w:rFonts w:hint="eastAsia"/>
        </w:rPr>
      </w:pPr>
      <w:r>
        <w:rPr>
          <w:rFonts w:hint="eastAsia"/>
        </w:rPr>
        <w:t>本文件主要起草人：</w:t>
      </w:r>
      <w:bookmarkStart w:id="46" w:name="_GoBack"/>
      <w:bookmarkEnd w:id="46"/>
    </w:p>
    <w:p w14:paraId="7BE6D4F2">
      <w:pPr>
        <w:pStyle w:val="56"/>
        <w:ind w:firstLine="420"/>
        <w:rPr>
          <w:rFonts w:hint="eastAsia"/>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5EE38B92">
      <w:pPr>
        <w:spacing w:line="20" w:lineRule="exact"/>
        <w:jc w:val="center"/>
        <w:rPr>
          <w:rFonts w:ascii="黑体" w:hAnsi="黑体" w:eastAsia="黑体"/>
          <w:sz w:val="32"/>
          <w:szCs w:val="32"/>
        </w:rPr>
      </w:pPr>
      <w:bookmarkStart w:id="22" w:name="BookMark4"/>
    </w:p>
    <w:p w14:paraId="20EBFBBB">
      <w:pPr>
        <w:spacing w:line="20" w:lineRule="exact"/>
        <w:jc w:val="center"/>
        <w:rPr>
          <w:rFonts w:ascii="黑体" w:hAnsi="黑体" w:eastAsia="黑体"/>
          <w:sz w:val="32"/>
          <w:szCs w:val="32"/>
        </w:rPr>
      </w:pPr>
    </w:p>
    <w:sdt>
      <w:sdtPr>
        <w:tag w:val="NEW_STAND_NAME"/>
        <w:id w:val="595910757"/>
        <w:lock w:val="sdtLocked"/>
        <w:placeholder>
          <w:docPart w:val="6AEDA5B9D2A840F4965A979D7D4A1BC4"/>
        </w:placeholder>
      </w:sdtPr>
      <w:sdtContent>
        <w:p w14:paraId="4472B954">
          <w:pPr>
            <w:pStyle w:val="177"/>
            <w:bidi w:val="0"/>
            <w:spacing w:before="313" w:beforeLines="100" w:after="687" w:afterLines="220"/>
          </w:pPr>
          <w:bookmarkStart w:id="23" w:name="NEW_STAND_NAME"/>
          <w:r>
            <w:rPr>
              <w:rFonts w:hint="eastAsia"/>
              <w:lang w:eastAsia="zh-CN"/>
            </w:rPr>
            <w:t>瑞雪苹果等级和规格</w:t>
          </w:r>
        </w:p>
      </w:sdtContent>
    </w:sdt>
    <w:bookmarkEnd w:id="23"/>
    <w:p w14:paraId="06116076">
      <w:pPr>
        <w:pStyle w:val="104"/>
        <w:spacing w:before="240" w:after="240"/>
      </w:pPr>
      <w:bookmarkStart w:id="24" w:name="_Toc26718930"/>
      <w:bookmarkStart w:id="25" w:name="_Toc17233325"/>
      <w:bookmarkStart w:id="26" w:name="_Toc24884211"/>
      <w:bookmarkStart w:id="27" w:name="_Toc24884218"/>
      <w:bookmarkStart w:id="28" w:name="_Toc26986771"/>
      <w:bookmarkStart w:id="29" w:name="_Toc97192964"/>
      <w:bookmarkStart w:id="30" w:name="_Toc26648465"/>
      <w:bookmarkStart w:id="31" w:name="_Toc17233333"/>
      <w:bookmarkStart w:id="32" w:name="_Toc26986530"/>
      <w:r>
        <w:rPr>
          <w:rFonts w:hint="eastAsia"/>
        </w:rPr>
        <w:t>范围</w:t>
      </w:r>
      <w:bookmarkEnd w:id="24"/>
      <w:bookmarkEnd w:id="25"/>
      <w:bookmarkEnd w:id="26"/>
      <w:bookmarkEnd w:id="27"/>
      <w:bookmarkEnd w:id="28"/>
      <w:bookmarkEnd w:id="29"/>
      <w:bookmarkEnd w:id="30"/>
      <w:bookmarkEnd w:id="31"/>
      <w:bookmarkEnd w:id="32"/>
    </w:p>
    <w:p w14:paraId="162A71BD">
      <w:pPr>
        <w:pStyle w:val="56"/>
        <w:ind w:firstLine="420"/>
      </w:pPr>
      <w:bookmarkStart w:id="33" w:name="_Toc24884219"/>
      <w:bookmarkStart w:id="34" w:name="_Toc17233326"/>
      <w:bookmarkStart w:id="35" w:name="_Toc24884212"/>
      <w:bookmarkStart w:id="36" w:name="_Toc26648466"/>
      <w:bookmarkStart w:id="37" w:name="_Toc17233334"/>
      <w:r>
        <w:rPr>
          <w:rFonts w:hint="eastAsia"/>
        </w:rPr>
        <w:t>本文件规定了瑞雪苹果的术语和定义、等级质量要求、检验方法、检验规则、标识及容许度要求。</w:t>
      </w:r>
    </w:p>
    <w:p w14:paraId="22C3CE53">
      <w:pPr>
        <w:pStyle w:val="56"/>
        <w:ind w:firstLine="420"/>
        <w:rPr>
          <w:rFonts w:hint="eastAsia"/>
        </w:rPr>
      </w:pPr>
      <w:r>
        <w:rPr>
          <w:rFonts w:hint="eastAsia"/>
          <w:lang w:eastAsia="zh-CN"/>
        </w:rPr>
        <w:t>本文件适用于符合中国卫生安全要求的瑞雪苹果。</w:t>
      </w:r>
    </w:p>
    <w:p w14:paraId="3EB70B47">
      <w:pPr>
        <w:pStyle w:val="56"/>
        <w:ind w:firstLine="420"/>
      </w:pPr>
      <w:r>
        <w:rPr>
          <w:rFonts w:hint="eastAsia"/>
        </w:rPr>
        <w:t>本文件适用于瑞雪鲜食苹果的生产、采购和销售。</w:t>
      </w:r>
    </w:p>
    <w:p w14:paraId="4D3B2C1C">
      <w:pPr>
        <w:pStyle w:val="104"/>
        <w:spacing w:before="240" w:after="240"/>
      </w:pPr>
      <w:bookmarkStart w:id="38" w:name="_Toc97192965"/>
      <w:bookmarkStart w:id="39" w:name="_Toc26986772"/>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45DC420E280F414AA601F4C475C53C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22D9CB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2F09373">
      <w:pPr>
        <w:pStyle w:val="56"/>
        <w:ind w:firstLine="420"/>
      </w:pPr>
      <w:r>
        <w:rPr>
          <w:rFonts w:hint="eastAsia"/>
        </w:rPr>
        <w:t>GB/T 10651-2026 鲜苹果</w:t>
      </w:r>
    </w:p>
    <w:p w14:paraId="1BA21E25">
      <w:pPr>
        <w:pStyle w:val="56"/>
        <w:ind w:firstLine="420"/>
      </w:pPr>
      <w:r>
        <w:rPr>
          <w:rFonts w:hint="eastAsia"/>
        </w:rPr>
        <w:t>GB 2762-2025 食品安全国家标准 食品中污染物限量</w:t>
      </w:r>
    </w:p>
    <w:p w14:paraId="093F6B9C">
      <w:pPr>
        <w:pStyle w:val="56"/>
        <w:ind w:firstLine="420"/>
      </w:pPr>
      <w:r>
        <w:rPr>
          <w:rFonts w:hint="eastAsia"/>
        </w:rPr>
        <w:t>GB 2763-2026 食品安全国家标准 食品中农药最大残留限量</w:t>
      </w:r>
    </w:p>
    <w:p w14:paraId="0DD165A3">
      <w:pPr>
        <w:pStyle w:val="56"/>
        <w:ind w:firstLine="420"/>
      </w:pPr>
      <w:r>
        <w:rPr>
          <w:rFonts w:hint="eastAsia"/>
        </w:rPr>
        <w:t>T/ZGPG 1-2023 瑞雪 鲜苹果</w:t>
      </w:r>
    </w:p>
    <w:p w14:paraId="78F0240D">
      <w:pPr>
        <w:pStyle w:val="104"/>
        <w:spacing w:before="240" w:after="240"/>
      </w:pPr>
      <w:bookmarkStart w:id="42" w:name="_Toc97192966"/>
      <w:r>
        <w:rPr>
          <w:rFonts w:hint="eastAsia"/>
          <w:szCs w:val="21"/>
        </w:rPr>
        <w:t>术语和定义</w:t>
      </w:r>
      <w:bookmarkEnd w:id="42"/>
    </w:p>
    <w:sdt>
      <w:sdtPr>
        <w:id w:val="-1909835108"/>
        <w:placeholder>
          <w:docPart w:val="4DFA56F99F0E49CD84128E38448020A9"/>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66AACA7">
          <w:pPr>
            <w:pStyle w:val="56"/>
            <w:ind w:firstLine="420"/>
          </w:pPr>
          <w:bookmarkStart w:id="43" w:name="_Toc26986532"/>
          <w:bookmarkEnd w:id="43"/>
          <w:r>
            <w:t>下列术语和定义适用于本文件。</w:t>
          </w:r>
        </w:p>
      </w:sdtContent>
    </w:sdt>
    <w:p w14:paraId="0B511333">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瑞雪苹果 Ruixue</w:t>
      </w:r>
    </w:p>
    <w:p w14:paraId="011E1BF3">
      <w:pPr>
        <w:pStyle w:val="56"/>
        <w:ind w:firstLine="420"/>
      </w:pPr>
      <w:r>
        <w:t>西北农林科技大学以富士短枝型芽变优系秦富1号苹果为母本，克氏粉红苹果为父本杂交选育而成的晚熟黄绿色苹果品种。</w:t>
      </w:r>
    </w:p>
    <w:p w14:paraId="45FCCAD7">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新鲜 fresh</w:t>
      </w:r>
    </w:p>
    <w:p w14:paraId="47D5252F">
      <w:pPr>
        <w:pStyle w:val="56"/>
        <w:ind w:firstLine="420"/>
      </w:pPr>
      <w:r>
        <w:rPr>
          <w:rFonts w:hint="eastAsia"/>
        </w:rPr>
        <w:t>果实无失水皱皮、色泽变暗等。</w:t>
      </w:r>
    </w:p>
    <w:p w14:paraId="7E530DE2">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果锈 russeting</w:t>
      </w:r>
    </w:p>
    <w:p w14:paraId="3735CB02">
      <w:pPr>
        <w:pStyle w:val="56"/>
        <w:ind w:firstLine="420"/>
      </w:pPr>
      <w:r>
        <w:rPr>
          <w:rFonts w:hint="eastAsia"/>
        </w:rPr>
        <w:t>由于外部环境导致果皮形成的无光泽的暗褐色木栓化薄层或点状物。</w:t>
      </w:r>
    </w:p>
    <w:p w14:paraId="4BEB2FA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果面缺陷 fruit defects</w:t>
      </w:r>
    </w:p>
    <w:p w14:paraId="0EFE4610">
      <w:pPr>
        <w:pStyle w:val="56"/>
        <w:ind w:firstLine="420"/>
      </w:pPr>
      <w:r>
        <w:rPr>
          <w:rFonts w:hint="eastAsia"/>
        </w:rPr>
        <w:t>由于自然因素或人为机械的作用，对果实表面造成的各类机械损伤、自然病斑、虫害痕迹及附着物等。</w:t>
      </w:r>
    </w:p>
    <w:p w14:paraId="1895F7D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单果重 single fruit weight</w:t>
      </w:r>
    </w:p>
    <w:p w14:paraId="1E7C238F">
      <w:pPr>
        <w:pStyle w:val="56"/>
        <w:ind w:firstLine="420"/>
      </w:pPr>
      <w:r>
        <w:rPr>
          <w:rFonts w:hint="eastAsia"/>
        </w:rPr>
        <w:t>单个果实的质量，单位为克（g）。</w:t>
      </w:r>
    </w:p>
    <w:p w14:paraId="4C39091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果径 fruit diameter</w:t>
      </w:r>
    </w:p>
    <w:p w14:paraId="4D4FB76B">
      <w:pPr>
        <w:pStyle w:val="56"/>
        <w:ind w:firstLine="420"/>
      </w:pPr>
      <w:r>
        <w:rPr>
          <w:rFonts w:hint="eastAsia"/>
        </w:rPr>
        <w:t>果实最大横切面的直径，单位为毫米（mm）。</w:t>
      </w:r>
    </w:p>
    <w:p w14:paraId="546AFC3C">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可溶性固形物 soluble solids</w:t>
      </w:r>
    </w:p>
    <w:p w14:paraId="4B78FCF5">
      <w:pPr>
        <w:pStyle w:val="56"/>
        <w:ind w:firstLine="420"/>
      </w:pPr>
      <w:r>
        <w:rPr>
          <w:rFonts w:hint="eastAsia"/>
        </w:rPr>
        <w:t>果肉中可溶性物质含量，是衡量果实中可溶性糖、酸等物质含量的指标，单位为百分数（%）。</w:t>
      </w:r>
    </w:p>
    <w:p w14:paraId="4B375A7E">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果实硬度 fruit firmness</w:t>
      </w:r>
    </w:p>
    <w:p w14:paraId="3D4B2106">
      <w:pPr>
        <w:pStyle w:val="56"/>
        <w:ind w:firstLine="420"/>
      </w:pPr>
      <w:r>
        <w:rPr>
          <w:rFonts w:hint="eastAsia"/>
        </w:rPr>
        <w:t>指果实胴部去皮后单位面积所承受的试验压力，单位为千克/平方厘米（kg/cm</w:t>
      </w:r>
      <w:r>
        <w:rPr>
          <w:rFonts w:hint="eastAsia"/>
          <w:vertAlign w:val="superscript"/>
        </w:rPr>
        <w:t>2</w:t>
      </w:r>
      <w:r>
        <w:rPr>
          <w:rFonts w:hint="eastAsia"/>
        </w:rPr>
        <w:t>）。</w:t>
      </w:r>
    </w:p>
    <w:p w14:paraId="712DBB08">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成熟 mature</w:t>
      </w:r>
    </w:p>
    <w:p w14:paraId="0C995BF6">
      <w:pPr>
        <w:pStyle w:val="56"/>
        <w:ind w:firstLine="420"/>
      </w:pPr>
      <w:r>
        <w:rPr>
          <w:rFonts w:hint="eastAsia"/>
        </w:rPr>
        <w:t>果实完成生长发育阶段，体现出本品种果实固有的色泽、风味等基本特征。</w:t>
      </w:r>
    </w:p>
    <w:p w14:paraId="05D8934C">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成熟度 maturity</w:t>
      </w:r>
    </w:p>
    <w:p w14:paraId="2A5FD926">
      <w:pPr>
        <w:pStyle w:val="56"/>
        <w:ind w:firstLine="420"/>
      </w:pPr>
      <w:r>
        <w:rPr>
          <w:rFonts w:hint="eastAsia"/>
        </w:rPr>
        <w:t>苹果果实成熟的程度。一般分为采收成熟度和食用成熟度两个阶段。</w:t>
      </w:r>
    </w:p>
    <w:p w14:paraId="092E8DF9">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采收成熟 harvesting maturity</w:t>
      </w:r>
    </w:p>
    <w:p w14:paraId="635955EB">
      <w:pPr>
        <w:pStyle w:val="56"/>
        <w:ind w:firstLine="420"/>
      </w:pPr>
      <w:r>
        <w:rPr>
          <w:rFonts w:hint="eastAsia"/>
        </w:rPr>
        <w:t>果实完成了生长发育和化学物质积累过程，果实体积不再增大，果肉开始由硬变脆，但果实应有的风味和香气还未充分表现出的成熟阶段。该阶段果实可以采收贮藏，但尚未达最佳鲜食适口期。</w:t>
      </w:r>
    </w:p>
    <w:p w14:paraId="51DE7B21">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食用成熟度edible maturity</w:t>
      </w:r>
    </w:p>
    <w:p w14:paraId="74DA251A">
      <w:pPr>
        <w:pStyle w:val="56"/>
        <w:ind w:firstLine="420"/>
      </w:pPr>
      <w:r>
        <w:rPr>
          <w:rFonts w:hint="eastAsia"/>
        </w:rPr>
        <w:t>果实已达到本品种固有的鲜食特征，肉质风味充分体现，处于最佳鲜食状态的成熟阶段。该阶段果实可短期贮藏，但不宜长途运输和长期贮藏。</w:t>
      </w:r>
    </w:p>
    <w:p w14:paraId="75139631">
      <w:pPr>
        <w:pStyle w:val="104"/>
        <w:spacing w:before="240" w:after="240"/>
      </w:pPr>
      <w:r>
        <w:rPr>
          <w:rFonts w:hint="eastAsia"/>
        </w:rPr>
        <w:t>等级和规格要求</w:t>
      </w:r>
    </w:p>
    <w:p w14:paraId="09250AB9">
      <w:pPr>
        <w:pStyle w:val="105"/>
        <w:spacing w:before="120" w:after="120"/>
      </w:pPr>
      <w:r>
        <w:rPr>
          <w:rFonts w:hint="eastAsia"/>
        </w:rPr>
        <w:t>等级要求</w:t>
      </w:r>
    </w:p>
    <w:p w14:paraId="65BAEB6B">
      <w:pPr>
        <w:pStyle w:val="56"/>
        <w:ind w:firstLine="420"/>
      </w:pPr>
      <w:r>
        <w:rPr>
          <w:rFonts w:hint="eastAsia"/>
        </w:rPr>
        <w:t>分为特级、一级、二级，应符合表1的规定。</w:t>
      </w:r>
    </w:p>
    <w:p w14:paraId="41104DEB">
      <w:pPr>
        <w:pStyle w:val="112"/>
        <w:spacing w:before="120" w:after="120"/>
      </w:pPr>
      <w:r>
        <w:rPr>
          <w:rFonts w:hint="eastAsia"/>
        </w:rPr>
        <w:t>等级要求</w:t>
      </w:r>
    </w:p>
    <w:tbl>
      <w:tblPr>
        <w:tblStyle w:val="26"/>
        <w:tblW w:w="9336"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985"/>
        <w:gridCol w:w="1876"/>
        <w:gridCol w:w="2390"/>
        <w:gridCol w:w="2389"/>
      </w:tblGrid>
      <w:tr w14:paraId="12EE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1" w:type="dxa"/>
            <w:gridSpan w:val="2"/>
            <w:vMerge w:val="restart"/>
            <w:vAlign w:val="center"/>
          </w:tcPr>
          <w:p w14:paraId="356CD77C">
            <w:pPr>
              <w:pStyle w:val="231"/>
              <w:ind w:firstLine="0" w:firstLineChars="0"/>
              <w:jc w:val="center"/>
              <w:rPr>
                <w:rFonts w:ascii="Times New Roman" w:hAnsi="Times New Roman"/>
                <w:bCs/>
                <w:szCs w:val="21"/>
              </w:rPr>
            </w:pPr>
            <w:r>
              <w:rPr>
                <w:rFonts w:hint="eastAsia" w:ascii="Times New Roman" w:hAnsi="Times New Roman"/>
                <w:bCs/>
                <w:szCs w:val="21"/>
              </w:rPr>
              <w:t>项目</w:t>
            </w:r>
          </w:p>
        </w:tc>
        <w:tc>
          <w:tcPr>
            <w:tcW w:w="6655" w:type="dxa"/>
            <w:gridSpan w:val="3"/>
            <w:vAlign w:val="center"/>
          </w:tcPr>
          <w:p w14:paraId="52E8B92F">
            <w:pPr>
              <w:pStyle w:val="231"/>
              <w:ind w:firstLine="0" w:firstLineChars="0"/>
              <w:jc w:val="center"/>
              <w:rPr>
                <w:rFonts w:hint="eastAsia" w:ascii="Times New Roman" w:hAnsi="Times New Roman"/>
                <w:bCs/>
                <w:szCs w:val="21"/>
              </w:rPr>
            </w:pPr>
            <w:r>
              <w:rPr>
                <w:rFonts w:hint="eastAsia" w:ascii="Times New Roman" w:hAnsi="Times New Roman"/>
                <w:bCs/>
                <w:szCs w:val="21"/>
              </w:rPr>
              <w:t>等级</w:t>
            </w:r>
          </w:p>
        </w:tc>
      </w:tr>
      <w:tr w14:paraId="54E8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81" w:type="dxa"/>
            <w:gridSpan w:val="2"/>
            <w:vMerge w:val="continue"/>
            <w:vAlign w:val="center"/>
          </w:tcPr>
          <w:p w14:paraId="61575641">
            <w:pPr>
              <w:pStyle w:val="231"/>
              <w:ind w:firstLine="0" w:firstLineChars="0"/>
              <w:jc w:val="center"/>
              <w:rPr>
                <w:rFonts w:ascii="Times New Roman" w:hAnsi="Times New Roman"/>
                <w:bCs/>
                <w:szCs w:val="21"/>
              </w:rPr>
            </w:pPr>
          </w:p>
        </w:tc>
        <w:tc>
          <w:tcPr>
            <w:tcW w:w="1876" w:type="dxa"/>
            <w:vAlign w:val="center"/>
          </w:tcPr>
          <w:p w14:paraId="3895F417">
            <w:pPr>
              <w:pStyle w:val="231"/>
              <w:ind w:firstLine="400"/>
              <w:jc w:val="center"/>
              <w:rPr>
                <w:rFonts w:ascii="Times New Roman" w:hAnsi="Times New Roman"/>
                <w:bCs/>
                <w:szCs w:val="21"/>
              </w:rPr>
            </w:pPr>
            <w:r>
              <w:rPr>
                <w:rFonts w:ascii="Times New Roman" w:hAnsi="Times New Roman"/>
                <w:bCs/>
                <w:szCs w:val="21"/>
              </w:rPr>
              <w:t>特级</w:t>
            </w:r>
          </w:p>
        </w:tc>
        <w:tc>
          <w:tcPr>
            <w:tcW w:w="2390" w:type="dxa"/>
            <w:vAlign w:val="center"/>
          </w:tcPr>
          <w:p w14:paraId="2A13DB97">
            <w:pPr>
              <w:pStyle w:val="231"/>
              <w:ind w:firstLine="400"/>
              <w:jc w:val="center"/>
              <w:rPr>
                <w:rFonts w:ascii="Times New Roman" w:hAnsi="Times New Roman"/>
                <w:bCs/>
                <w:szCs w:val="21"/>
              </w:rPr>
            </w:pPr>
            <w:r>
              <w:rPr>
                <w:rFonts w:ascii="Times New Roman" w:hAnsi="Times New Roman"/>
                <w:bCs/>
                <w:szCs w:val="21"/>
              </w:rPr>
              <w:t>一级</w:t>
            </w:r>
          </w:p>
        </w:tc>
        <w:tc>
          <w:tcPr>
            <w:tcW w:w="2389" w:type="dxa"/>
            <w:vAlign w:val="center"/>
          </w:tcPr>
          <w:p w14:paraId="46AB31AC">
            <w:pPr>
              <w:pStyle w:val="231"/>
              <w:ind w:firstLine="400"/>
              <w:jc w:val="center"/>
              <w:rPr>
                <w:rFonts w:ascii="Times New Roman" w:hAnsi="Times New Roman"/>
                <w:bCs/>
                <w:szCs w:val="21"/>
              </w:rPr>
            </w:pPr>
            <w:r>
              <w:rPr>
                <w:rFonts w:ascii="Times New Roman" w:hAnsi="Times New Roman"/>
                <w:bCs/>
                <w:szCs w:val="21"/>
              </w:rPr>
              <w:t>二级</w:t>
            </w:r>
          </w:p>
        </w:tc>
      </w:tr>
      <w:tr w14:paraId="55398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81" w:type="dxa"/>
            <w:gridSpan w:val="2"/>
            <w:vAlign w:val="center"/>
          </w:tcPr>
          <w:p w14:paraId="266D5F55">
            <w:pPr>
              <w:pStyle w:val="231"/>
              <w:ind w:firstLine="0" w:firstLineChars="0"/>
              <w:jc w:val="center"/>
              <w:rPr>
                <w:rFonts w:ascii="Times New Roman" w:hAnsi="Times New Roman"/>
                <w:szCs w:val="21"/>
              </w:rPr>
            </w:pPr>
            <w:r>
              <w:rPr>
                <w:rFonts w:hint="eastAsia" w:ascii="Times New Roman" w:hAnsi="Times New Roman"/>
                <w:szCs w:val="21"/>
              </w:rPr>
              <w:t>基本要求</w:t>
            </w:r>
          </w:p>
        </w:tc>
        <w:tc>
          <w:tcPr>
            <w:tcW w:w="6655" w:type="dxa"/>
            <w:gridSpan w:val="3"/>
            <w:vAlign w:val="center"/>
          </w:tcPr>
          <w:p w14:paraId="6A7033DE">
            <w:pPr>
              <w:pStyle w:val="231"/>
              <w:tabs>
                <w:tab w:val="clear" w:pos="4201"/>
                <w:tab w:val="clear" w:pos="9298"/>
              </w:tabs>
              <w:spacing w:after="160"/>
              <w:ind w:firstLine="0" w:firstLineChars="0"/>
              <w:jc w:val="left"/>
              <w:rPr>
                <w:rFonts w:hint="eastAsia" w:hAnsi="宋体"/>
                <w:color w:val="000000"/>
              </w:rPr>
            </w:pPr>
            <w:r>
              <w:rPr>
                <w:rFonts w:hint="eastAsia" w:hAnsi="宋体"/>
                <w:color w:val="000000"/>
              </w:rPr>
              <w:t>果实充分发育，达到适宜贮藏或销售的成熟度。</w:t>
            </w:r>
          </w:p>
          <w:p w14:paraId="36C936AA">
            <w:pPr>
              <w:pStyle w:val="231"/>
              <w:tabs>
                <w:tab w:val="clear" w:pos="4201"/>
                <w:tab w:val="clear" w:pos="9298"/>
              </w:tabs>
              <w:spacing w:after="160"/>
              <w:ind w:firstLine="0" w:firstLineChars="0"/>
              <w:jc w:val="left"/>
              <w:rPr>
                <w:rFonts w:hint="eastAsia" w:hAnsi="宋体"/>
                <w:color w:val="000000"/>
              </w:rPr>
            </w:pPr>
            <w:r>
              <w:rPr>
                <w:rFonts w:hint="eastAsia" w:hAnsi="宋体"/>
                <w:color w:val="000000"/>
              </w:rPr>
              <w:t>果实新鲜、洁净，无异味或非正常风味。</w:t>
            </w:r>
          </w:p>
          <w:p w14:paraId="0311BAD2">
            <w:pPr>
              <w:pStyle w:val="231"/>
              <w:tabs>
                <w:tab w:val="clear" w:pos="4201"/>
                <w:tab w:val="clear" w:pos="9298"/>
              </w:tabs>
              <w:spacing w:after="160"/>
              <w:ind w:firstLine="0" w:firstLineChars="0"/>
              <w:jc w:val="left"/>
              <w:rPr>
                <w:rFonts w:ascii="Times New Roman" w:hAnsi="Times New Roman"/>
                <w:szCs w:val="21"/>
                <w:lang w:val="zh-TW"/>
              </w:rPr>
            </w:pPr>
            <w:r>
              <w:rPr>
                <w:rFonts w:hint="eastAsia" w:hAnsi="宋体"/>
                <w:color w:val="000000"/>
              </w:rPr>
              <w:t>无虫害，无果实病毒病和侵染性病害、无刺伤。</w:t>
            </w:r>
          </w:p>
        </w:tc>
      </w:tr>
      <w:tr w14:paraId="6449D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81" w:type="dxa"/>
            <w:gridSpan w:val="2"/>
            <w:vAlign w:val="center"/>
          </w:tcPr>
          <w:p w14:paraId="6BD499D1">
            <w:pPr>
              <w:pStyle w:val="231"/>
              <w:ind w:firstLine="0" w:firstLineChars="0"/>
              <w:jc w:val="center"/>
              <w:rPr>
                <w:rFonts w:ascii="Times New Roman" w:hAnsi="Times New Roman"/>
                <w:szCs w:val="21"/>
              </w:rPr>
            </w:pPr>
            <w:r>
              <w:rPr>
                <w:rFonts w:ascii="Times New Roman" w:hAnsi="Times New Roman"/>
                <w:szCs w:val="21"/>
              </w:rPr>
              <w:t>果形</w:t>
            </w:r>
          </w:p>
        </w:tc>
        <w:tc>
          <w:tcPr>
            <w:tcW w:w="1876" w:type="dxa"/>
            <w:vAlign w:val="center"/>
          </w:tcPr>
          <w:p w14:paraId="0B5E5DFD">
            <w:pPr>
              <w:pStyle w:val="231"/>
              <w:ind w:firstLine="0" w:firstLineChars="0"/>
              <w:rPr>
                <w:rFonts w:ascii="Times New Roman" w:hAnsi="Times New Roman"/>
                <w:szCs w:val="21"/>
              </w:rPr>
            </w:pPr>
            <w:r>
              <w:rPr>
                <w:rFonts w:ascii="Times New Roman" w:hAnsi="Times New Roman"/>
                <w:szCs w:val="21"/>
                <w:lang w:val="zh-TW"/>
              </w:rPr>
              <w:t>果形端正</w:t>
            </w:r>
            <w:r>
              <w:rPr>
                <w:rFonts w:hint="eastAsia" w:ascii="Times New Roman" w:hAnsi="Times New Roman"/>
                <w:szCs w:val="21"/>
                <w:lang w:val="zh-TW"/>
              </w:rPr>
              <w:t>，</w:t>
            </w:r>
            <w:r>
              <w:rPr>
                <w:rFonts w:hint="eastAsia" w:ascii="Times New Roman"/>
              </w:rPr>
              <w:t>偏斜度＜5%</w:t>
            </w:r>
          </w:p>
        </w:tc>
        <w:tc>
          <w:tcPr>
            <w:tcW w:w="2390" w:type="dxa"/>
            <w:vAlign w:val="center"/>
          </w:tcPr>
          <w:p w14:paraId="5E731E3E">
            <w:pPr>
              <w:pStyle w:val="231"/>
              <w:ind w:firstLine="0" w:firstLineChars="0"/>
              <w:jc w:val="center"/>
              <w:rPr>
                <w:rFonts w:ascii="Times New Roman" w:hAnsi="Times New Roman"/>
                <w:szCs w:val="21"/>
              </w:rPr>
            </w:pPr>
            <w:r>
              <w:rPr>
                <w:rFonts w:ascii="Times New Roman" w:hAnsi="Times New Roman"/>
                <w:szCs w:val="21"/>
                <w:lang w:val="zh-TW"/>
              </w:rPr>
              <w:t>果形端正</w:t>
            </w:r>
            <w:r>
              <w:rPr>
                <w:rFonts w:hint="eastAsia" w:ascii="Times New Roman" w:hAnsi="Times New Roman"/>
                <w:szCs w:val="21"/>
                <w:lang w:val="zh-TW"/>
              </w:rPr>
              <w:t>，</w:t>
            </w:r>
            <w:r>
              <w:rPr>
                <w:rFonts w:ascii="Times New Roman" w:hAnsi="Times New Roman"/>
                <w:szCs w:val="21"/>
                <w:lang w:val="zh-TW"/>
              </w:rPr>
              <w:t>偏斜</w:t>
            </w:r>
            <w:r>
              <w:rPr>
                <w:rFonts w:hint="eastAsia" w:ascii="Times New Roman"/>
              </w:rPr>
              <w:t>度＜</w:t>
            </w:r>
            <w:r>
              <w:rPr>
                <w:rFonts w:ascii="Times New Roman" w:hAnsi="Times New Roman" w:eastAsia="PMingLiU"/>
                <w:szCs w:val="21"/>
                <w:lang w:val="zh-TW" w:eastAsia="zh-TW"/>
              </w:rPr>
              <w:t>10</w:t>
            </w:r>
            <w:r>
              <w:rPr>
                <w:rFonts w:ascii="Times New Roman" w:hAnsi="Times New Roman"/>
                <w:szCs w:val="21"/>
                <w:lang w:val="zh-TW"/>
              </w:rPr>
              <w:t>%</w:t>
            </w:r>
          </w:p>
        </w:tc>
        <w:tc>
          <w:tcPr>
            <w:tcW w:w="2389" w:type="dxa"/>
            <w:vAlign w:val="center"/>
          </w:tcPr>
          <w:p w14:paraId="543AC6D0">
            <w:pPr>
              <w:pStyle w:val="231"/>
              <w:ind w:firstLine="0" w:firstLineChars="0"/>
              <w:jc w:val="center"/>
              <w:rPr>
                <w:rFonts w:ascii="Times New Roman" w:hAnsi="Times New Roman"/>
                <w:szCs w:val="21"/>
              </w:rPr>
            </w:pPr>
            <w:r>
              <w:rPr>
                <w:rFonts w:ascii="Times New Roman" w:hAnsi="Times New Roman"/>
                <w:szCs w:val="21"/>
                <w:lang w:val="zh-TW"/>
              </w:rPr>
              <w:t>果形端正</w:t>
            </w:r>
            <w:r>
              <w:rPr>
                <w:rFonts w:hint="eastAsia" w:ascii="Times New Roman" w:hAnsi="Times New Roman"/>
                <w:szCs w:val="21"/>
                <w:lang w:val="zh-TW"/>
              </w:rPr>
              <w:t>，</w:t>
            </w:r>
            <w:r>
              <w:rPr>
                <w:rFonts w:ascii="Times New Roman" w:hAnsi="Times New Roman"/>
                <w:szCs w:val="21"/>
                <w:lang w:val="zh-TW"/>
              </w:rPr>
              <w:t>偏斜</w:t>
            </w:r>
            <w:r>
              <w:rPr>
                <w:rFonts w:hint="eastAsia" w:ascii="Times New Roman"/>
              </w:rPr>
              <w:t>度＜</w:t>
            </w:r>
            <w:r>
              <w:rPr>
                <w:rFonts w:ascii="Times New Roman" w:hAnsi="Times New Roman"/>
                <w:szCs w:val="21"/>
                <w:lang w:val="zh-TW" w:eastAsia="zh-TW"/>
              </w:rPr>
              <w:t>1</w:t>
            </w:r>
            <w:r>
              <w:rPr>
                <w:rFonts w:ascii="Times New Roman" w:hAnsi="Times New Roman" w:eastAsia="PMingLiU"/>
                <w:szCs w:val="21"/>
                <w:lang w:val="zh-TW" w:eastAsia="zh-TW"/>
              </w:rPr>
              <w:t>5</w:t>
            </w:r>
            <w:r>
              <w:rPr>
                <w:rFonts w:ascii="Times New Roman" w:hAnsi="Times New Roman"/>
                <w:szCs w:val="21"/>
                <w:lang w:val="zh-TW"/>
              </w:rPr>
              <w:t>%</w:t>
            </w:r>
          </w:p>
        </w:tc>
      </w:tr>
      <w:tr w14:paraId="6B026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81" w:type="dxa"/>
            <w:gridSpan w:val="2"/>
            <w:vAlign w:val="center"/>
          </w:tcPr>
          <w:p w14:paraId="7B9C889B">
            <w:pPr>
              <w:pStyle w:val="231"/>
              <w:ind w:firstLine="0" w:firstLineChars="0"/>
              <w:jc w:val="center"/>
              <w:rPr>
                <w:rFonts w:ascii="Times New Roman" w:hAnsi="Times New Roman"/>
                <w:szCs w:val="21"/>
              </w:rPr>
            </w:pPr>
            <w:r>
              <w:rPr>
                <w:rFonts w:ascii="Times New Roman" w:hAnsi="Times New Roman"/>
                <w:szCs w:val="21"/>
              </w:rPr>
              <w:t>果梗</w:t>
            </w:r>
          </w:p>
        </w:tc>
        <w:tc>
          <w:tcPr>
            <w:tcW w:w="1876" w:type="dxa"/>
            <w:vAlign w:val="center"/>
          </w:tcPr>
          <w:p w14:paraId="3E2FAF8F">
            <w:pPr>
              <w:pStyle w:val="231"/>
              <w:ind w:firstLine="0" w:firstLineChars="0"/>
              <w:jc w:val="center"/>
              <w:rPr>
                <w:rFonts w:ascii="Times New Roman" w:hAnsi="Times New Roman"/>
                <w:szCs w:val="21"/>
              </w:rPr>
            </w:pPr>
            <w:r>
              <w:rPr>
                <w:rFonts w:ascii="Times New Roman" w:hAnsi="Times New Roman"/>
                <w:szCs w:val="21"/>
              </w:rPr>
              <w:t>完整</w:t>
            </w:r>
          </w:p>
        </w:tc>
        <w:tc>
          <w:tcPr>
            <w:tcW w:w="2390" w:type="dxa"/>
            <w:vAlign w:val="center"/>
          </w:tcPr>
          <w:p w14:paraId="208BBCA9">
            <w:pPr>
              <w:pStyle w:val="231"/>
              <w:ind w:firstLine="0" w:firstLineChars="0"/>
              <w:jc w:val="center"/>
              <w:rPr>
                <w:rFonts w:ascii="Times New Roman" w:hAnsi="Times New Roman"/>
                <w:szCs w:val="21"/>
              </w:rPr>
            </w:pPr>
            <w:r>
              <w:rPr>
                <w:rFonts w:ascii="Times New Roman" w:hAnsi="Times New Roman"/>
                <w:szCs w:val="21"/>
              </w:rPr>
              <w:t>完整</w:t>
            </w:r>
          </w:p>
        </w:tc>
        <w:tc>
          <w:tcPr>
            <w:tcW w:w="2389" w:type="dxa"/>
            <w:vAlign w:val="center"/>
          </w:tcPr>
          <w:p w14:paraId="3F86201C">
            <w:pPr>
              <w:pStyle w:val="231"/>
              <w:ind w:firstLine="0" w:firstLineChars="0"/>
              <w:jc w:val="center"/>
              <w:rPr>
                <w:rFonts w:ascii="Times New Roman" w:hAnsi="Times New Roman"/>
                <w:szCs w:val="21"/>
              </w:rPr>
            </w:pPr>
            <w:r>
              <w:rPr>
                <w:rFonts w:ascii="Times New Roman" w:hAnsi="Times New Roman"/>
                <w:szCs w:val="21"/>
              </w:rPr>
              <w:t>允许轻微损伤</w:t>
            </w:r>
          </w:p>
        </w:tc>
      </w:tr>
      <w:tr w14:paraId="0828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81" w:type="dxa"/>
            <w:gridSpan w:val="2"/>
            <w:vAlign w:val="center"/>
          </w:tcPr>
          <w:p w14:paraId="3FC33CDD">
            <w:pPr>
              <w:pStyle w:val="231"/>
              <w:ind w:firstLine="0" w:firstLineChars="0"/>
              <w:jc w:val="center"/>
              <w:rPr>
                <w:rFonts w:ascii="Times New Roman" w:hAnsi="Times New Roman"/>
                <w:szCs w:val="21"/>
                <w:lang w:val="zh-TW"/>
              </w:rPr>
            </w:pPr>
            <w:r>
              <w:rPr>
                <w:rFonts w:ascii="Times New Roman" w:hAnsi="Times New Roman"/>
                <w:szCs w:val="21"/>
              </w:rPr>
              <w:t>色泽</w:t>
            </w:r>
          </w:p>
        </w:tc>
        <w:tc>
          <w:tcPr>
            <w:tcW w:w="1876" w:type="dxa"/>
            <w:vAlign w:val="center"/>
          </w:tcPr>
          <w:p w14:paraId="082B8FD7">
            <w:pPr>
              <w:pStyle w:val="231"/>
              <w:ind w:firstLine="0" w:firstLineChars="0"/>
              <w:jc w:val="center"/>
              <w:rPr>
                <w:rFonts w:ascii="Times New Roman" w:hAnsi="Times New Roman"/>
                <w:szCs w:val="21"/>
              </w:rPr>
            </w:pPr>
            <w:r>
              <w:rPr>
                <w:rFonts w:ascii="Times New Roman" w:hAnsi="Times New Roman"/>
                <w:szCs w:val="21"/>
              </w:rPr>
              <w:t>黄绿色或果面着红晕</w:t>
            </w:r>
          </w:p>
        </w:tc>
        <w:tc>
          <w:tcPr>
            <w:tcW w:w="2390" w:type="dxa"/>
            <w:vAlign w:val="center"/>
          </w:tcPr>
          <w:p w14:paraId="18A6074C">
            <w:pPr>
              <w:pStyle w:val="231"/>
              <w:ind w:firstLine="0" w:firstLineChars="0"/>
              <w:jc w:val="center"/>
              <w:rPr>
                <w:rFonts w:ascii="Times New Roman" w:hAnsi="Times New Roman"/>
                <w:szCs w:val="21"/>
              </w:rPr>
            </w:pPr>
            <w:r>
              <w:rPr>
                <w:rFonts w:ascii="Times New Roman" w:hAnsi="Times New Roman"/>
                <w:szCs w:val="21"/>
              </w:rPr>
              <w:t>黄绿色或果面着红晕</w:t>
            </w:r>
          </w:p>
        </w:tc>
        <w:tc>
          <w:tcPr>
            <w:tcW w:w="2389" w:type="dxa"/>
            <w:vAlign w:val="center"/>
          </w:tcPr>
          <w:p w14:paraId="5CAC7CE8">
            <w:pPr>
              <w:pStyle w:val="231"/>
              <w:ind w:firstLine="0" w:firstLineChars="0"/>
              <w:jc w:val="center"/>
              <w:rPr>
                <w:rFonts w:ascii="Times New Roman" w:hAnsi="Times New Roman"/>
                <w:szCs w:val="21"/>
              </w:rPr>
            </w:pPr>
            <w:r>
              <w:rPr>
                <w:rFonts w:ascii="Times New Roman" w:hAnsi="Times New Roman"/>
                <w:szCs w:val="21"/>
              </w:rPr>
              <w:t>黄绿色或果面着红晕</w:t>
            </w:r>
          </w:p>
        </w:tc>
      </w:tr>
      <w:tr w14:paraId="63284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6" w:type="dxa"/>
            <w:vMerge w:val="restart"/>
            <w:vAlign w:val="center"/>
          </w:tcPr>
          <w:p w14:paraId="7CF81706">
            <w:pPr>
              <w:pStyle w:val="231"/>
              <w:ind w:firstLine="0" w:firstLineChars="0"/>
              <w:jc w:val="center"/>
              <w:rPr>
                <w:rFonts w:ascii="Times New Roman" w:hAnsi="Times New Roman"/>
                <w:szCs w:val="21"/>
              </w:rPr>
            </w:pPr>
            <w:r>
              <w:rPr>
                <w:rFonts w:ascii="Times New Roman" w:hAnsi="Times New Roman"/>
                <w:szCs w:val="21"/>
              </w:rPr>
              <w:t>果锈</w:t>
            </w:r>
          </w:p>
        </w:tc>
        <w:tc>
          <w:tcPr>
            <w:tcW w:w="1985" w:type="dxa"/>
            <w:vAlign w:val="center"/>
          </w:tcPr>
          <w:p w14:paraId="47887D46">
            <w:pPr>
              <w:pStyle w:val="231"/>
              <w:ind w:firstLine="0" w:firstLineChars="0"/>
              <w:jc w:val="center"/>
              <w:rPr>
                <w:rFonts w:ascii="Times New Roman" w:hAnsi="Times New Roman"/>
                <w:szCs w:val="21"/>
              </w:rPr>
            </w:pPr>
            <w:r>
              <w:rPr>
                <w:rFonts w:ascii="Times New Roman" w:hAnsi="Times New Roman"/>
                <w:szCs w:val="21"/>
              </w:rPr>
              <w:t>褐色片锈</w:t>
            </w:r>
          </w:p>
        </w:tc>
        <w:tc>
          <w:tcPr>
            <w:tcW w:w="1876" w:type="dxa"/>
            <w:vAlign w:val="center"/>
          </w:tcPr>
          <w:p w14:paraId="7DF2B722">
            <w:pPr>
              <w:pStyle w:val="231"/>
              <w:ind w:firstLine="0" w:firstLineChars="0"/>
              <w:jc w:val="center"/>
              <w:rPr>
                <w:rFonts w:ascii="Times New Roman" w:hAnsi="Times New Roman"/>
                <w:szCs w:val="21"/>
              </w:rPr>
            </w:pPr>
            <w:r>
              <w:rPr>
                <w:rFonts w:ascii="Times New Roman" w:hAnsi="Times New Roman"/>
                <w:szCs w:val="21"/>
              </w:rPr>
              <w:t>无</w:t>
            </w:r>
          </w:p>
        </w:tc>
        <w:tc>
          <w:tcPr>
            <w:tcW w:w="2390" w:type="dxa"/>
            <w:vAlign w:val="center"/>
          </w:tcPr>
          <w:p w14:paraId="78BB71AB">
            <w:pPr>
              <w:pStyle w:val="231"/>
              <w:ind w:firstLine="0" w:firstLineChars="0"/>
              <w:jc w:val="center"/>
              <w:rPr>
                <w:rFonts w:ascii="Times New Roman" w:hAnsi="Times New Roman"/>
                <w:szCs w:val="21"/>
              </w:rPr>
            </w:pPr>
            <w:r>
              <w:rPr>
                <w:rFonts w:ascii="Times New Roman" w:hAnsi="Times New Roman"/>
                <w:szCs w:val="21"/>
              </w:rPr>
              <w:t>不超出梗洼</w:t>
            </w:r>
          </w:p>
        </w:tc>
        <w:tc>
          <w:tcPr>
            <w:tcW w:w="2389" w:type="dxa"/>
            <w:vAlign w:val="center"/>
          </w:tcPr>
          <w:p w14:paraId="3F5857F3">
            <w:pPr>
              <w:pStyle w:val="231"/>
              <w:ind w:firstLine="0" w:firstLineChars="0"/>
              <w:jc w:val="center"/>
              <w:rPr>
                <w:rFonts w:ascii="Times New Roman" w:hAnsi="Times New Roman"/>
                <w:szCs w:val="21"/>
              </w:rPr>
            </w:pPr>
            <w:r>
              <w:rPr>
                <w:rFonts w:ascii="Times New Roman" w:hAnsi="Times New Roman"/>
                <w:szCs w:val="21"/>
              </w:rPr>
              <w:t>不超</w:t>
            </w:r>
            <w:r>
              <w:rPr>
                <w:rFonts w:hint="eastAsia" w:ascii="Times New Roman" w:hAnsi="Times New Roman"/>
                <w:szCs w:val="21"/>
              </w:rPr>
              <w:t>出</w:t>
            </w:r>
            <w:r>
              <w:rPr>
                <w:rFonts w:ascii="Times New Roman" w:hAnsi="Times New Roman"/>
                <w:szCs w:val="21"/>
              </w:rPr>
              <w:t>果肩</w:t>
            </w:r>
          </w:p>
        </w:tc>
      </w:tr>
      <w:tr w14:paraId="7DAB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6" w:type="dxa"/>
            <w:vMerge w:val="continue"/>
            <w:vAlign w:val="center"/>
          </w:tcPr>
          <w:p w14:paraId="5847B97C">
            <w:pPr>
              <w:pStyle w:val="231"/>
              <w:ind w:firstLine="400"/>
              <w:jc w:val="center"/>
              <w:rPr>
                <w:rFonts w:ascii="Times New Roman" w:hAnsi="Times New Roman"/>
                <w:szCs w:val="21"/>
              </w:rPr>
            </w:pPr>
          </w:p>
        </w:tc>
        <w:tc>
          <w:tcPr>
            <w:tcW w:w="1985" w:type="dxa"/>
            <w:vAlign w:val="center"/>
          </w:tcPr>
          <w:p w14:paraId="65DDE7AE">
            <w:pPr>
              <w:pStyle w:val="231"/>
              <w:ind w:firstLine="0" w:firstLineChars="0"/>
              <w:jc w:val="center"/>
              <w:rPr>
                <w:rFonts w:ascii="Times New Roman" w:hAnsi="Times New Roman"/>
                <w:szCs w:val="21"/>
              </w:rPr>
            </w:pPr>
            <w:r>
              <w:rPr>
                <w:rFonts w:ascii="Times New Roman" w:hAnsi="Times New Roman"/>
                <w:szCs w:val="21"/>
              </w:rPr>
              <w:t>网状薄层</w:t>
            </w:r>
          </w:p>
        </w:tc>
        <w:tc>
          <w:tcPr>
            <w:tcW w:w="1876" w:type="dxa"/>
            <w:vAlign w:val="center"/>
          </w:tcPr>
          <w:p w14:paraId="1171B074">
            <w:pPr>
              <w:jc w:val="center"/>
              <w:rPr>
                <w:rFonts w:ascii="Times New Roman" w:hAnsi="Times New Roman"/>
              </w:rPr>
            </w:pPr>
            <w:r>
              <w:rPr>
                <w:rFonts w:hint="eastAsia" w:ascii="Times New Roman"/>
                <w:sz w:val="20"/>
                <w:szCs w:val="20"/>
              </w:rPr>
              <w:t>面积＜</w:t>
            </w:r>
            <w:r>
              <w:rPr>
                <w:rFonts w:ascii="Times New Roman" w:hAnsi="Times New Roman"/>
              </w:rPr>
              <w:t>5%</w:t>
            </w:r>
          </w:p>
        </w:tc>
        <w:tc>
          <w:tcPr>
            <w:tcW w:w="2390" w:type="dxa"/>
            <w:vAlign w:val="center"/>
          </w:tcPr>
          <w:p w14:paraId="75509703">
            <w:pPr>
              <w:jc w:val="center"/>
              <w:rPr>
                <w:rFonts w:ascii="Times New Roman" w:hAnsi="Times New Roman"/>
              </w:rPr>
            </w:pPr>
            <w:r>
              <w:rPr>
                <w:rFonts w:hint="eastAsia" w:ascii="Times New Roman"/>
                <w:sz w:val="20"/>
                <w:szCs w:val="20"/>
              </w:rPr>
              <w:t>面积＜</w:t>
            </w:r>
            <w:r>
              <w:rPr>
                <w:rFonts w:ascii="Times New Roman" w:hAnsi="Times New Roman"/>
              </w:rPr>
              <w:t>10%</w:t>
            </w:r>
          </w:p>
        </w:tc>
        <w:tc>
          <w:tcPr>
            <w:tcW w:w="2389" w:type="dxa"/>
            <w:vAlign w:val="center"/>
          </w:tcPr>
          <w:p w14:paraId="3A2F9393">
            <w:pPr>
              <w:jc w:val="center"/>
              <w:rPr>
                <w:rFonts w:ascii="Times New Roman" w:hAnsi="Times New Roman"/>
              </w:rPr>
            </w:pPr>
            <w:r>
              <w:rPr>
                <w:rFonts w:hint="eastAsia" w:ascii="Times New Roman"/>
                <w:sz w:val="20"/>
                <w:szCs w:val="20"/>
              </w:rPr>
              <w:t>面积＜</w:t>
            </w:r>
            <w:r>
              <w:rPr>
                <w:rFonts w:ascii="Times New Roman" w:hAnsi="Times New Roman"/>
              </w:rPr>
              <w:t>20%</w:t>
            </w:r>
          </w:p>
        </w:tc>
      </w:tr>
      <w:tr w14:paraId="1AFD3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6" w:type="dxa"/>
            <w:vMerge w:val="restart"/>
            <w:vAlign w:val="center"/>
          </w:tcPr>
          <w:p w14:paraId="1465F491">
            <w:pPr>
              <w:pStyle w:val="231"/>
              <w:ind w:firstLine="0" w:firstLineChars="0"/>
              <w:jc w:val="center"/>
              <w:rPr>
                <w:rFonts w:ascii="Times New Roman" w:hAnsi="Times New Roman"/>
                <w:szCs w:val="21"/>
              </w:rPr>
            </w:pPr>
            <w:r>
              <w:rPr>
                <w:rFonts w:ascii="Times New Roman" w:hAnsi="Times New Roman"/>
                <w:szCs w:val="21"/>
              </w:rPr>
              <w:t>果面</w:t>
            </w:r>
          </w:p>
          <w:p w14:paraId="04356AA7">
            <w:pPr>
              <w:pStyle w:val="231"/>
              <w:ind w:firstLine="0" w:firstLineChars="0"/>
              <w:jc w:val="center"/>
              <w:rPr>
                <w:rFonts w:ascii="Times New Roman" w:hAnsi="Times New Roman"/>
                <w:szCs w:val="21"/>
              </w:rPr>
            </w:pPr>
            <w:r>
              <w:rPr>
                <w:rFonts w:ascii="Times New Roman" w:hAnsi="Times New Roman"/>
                <w:szCs w:val="21"/>
              </w:rPr>
              <w:t>缺陷</w:t>
            </w:r>
          </w:p>
        </w:tc>
        <w:tc>
          <w:tcPr>
            <w:tcW w:w="1985" w:type="dxa"/>
            <w:vAlign w:val="center"/>
          </w:tcPr>
          <w:p w14:paraId="55D2DBD0">
            <w:pPr>
              <w:pStyle w:val="231"/>
              <w:ind w:firstLine="0" w:firstLineChars="0"/>
              <w:jc w:val="center"/>
              <w:rPr>
                <w:rFonts w:ascii="Times New Roman" w:hAnsi="Times New Roman"/>
                <w:szCs w:val="21"/>
              </w:rPr>
            </w:pPr>
            <w:r>
              <w:rPr>
                <w:rFonts w:ascii="Times New Roman" w:hAnsi="Times New Roman"/>
                <w:szCs w:val="21"/>
              </w:rPr>
              <w:t>碰压伤</w:t>
            </w:r>
          </w:p>
        </w:tc>
        <w:tc>
          <w:tcPr>
            <w:tcW w:w="1876" w:type="dxa"/>
          </w:tcPr>
          <w:p w14:paraId="20DF0B5D">
            <w:pPr>
              <w:jc w:val="center"/>
              <w:rPr>
                <w:rFonts w:ascii="Times New Roman" w:hAnsi="Times New Roman"/>
              </w:rPr>
            </w:pPr>
            <w:r>
              <w:rPr>
                <w:rFonts w:ascii="Times New Roman" w:hAnsi="Times New Roman"/>
              </w:rPr>
              <w:t>无</w:t>
            </w:r>
          </w:p>
        </w:tc>
        <w:tc>
          <w:tcPr>
            <w:tcW w:w="2390" w:type="dxa"/>
          </w:tcPr>
          <w:p w14:paraId="3EE27519">
            <w:pPr>
              <w:jc w:val="center"/>
              <w:rPr>
                <w:rFonts w:ascii="Times New Roman" w:hAnsi="Times New Roman"/>
              </w:rPr>
            </w:pPr>
            <w:r>
              <w:rPr>
                <w:rFonts w:ascii="Times New Roman" w:hAnsi="Times New Roman"/>
              </w:rPr>
              <w:t>无</w:t>
            </w:r>
          </w:p>
        </w:tc>
        <w:tc>
          <w:tcPr>
            <w:tcW w:w="2389" w:type="dxa"/>
            <w:vAlign w:val="center"/>
          </w:tcPr>
          <w:p w14:paraId="2F20878A">
            <w:pPr>
              <w:pStyle w:val="231"/>
              <w:ind w:firstLine="0" w:firstLineChars="0"/>
              <w:jc w:val="center"/>
              <w:rPr>
                <w:rFonts w:ascii="Times New Roman" w:hAnsi="Times New Roman"/>
                <w:szCs w:val="21"/>
              </w:rPr>
            </w:pPr>
            <w:r>
              <w:rPr>
                <w:rFonts w:ascii="Times New Roman" w:hAnsi="Times New Roman"/>
                <w:szCs w:val="21"/>
              </w:rPr>
              <w:t>面积</w:t>
            </w:r>
            <w:r>
              <w:rPr>
                <w:rFonts w:ascii="Times New Roman"/>
                <w:color w:val="000000"/>
              </w:rPr>
              <w:t>≤0.5cm</w:t>
            </w:r>
            <w:r>
              <w:rPr>
                <w:rFonts w:ascii="Times New Roman"/>
                <w:color w:val="000000"/>
                <w:vertAlign w:val="superscript"/>
              </w:rPr>
              <w:t>2</w:t>
            </w:r>
          </w:p>
        </w:tc>
      </w:tr>
      <w:tr w14:paraId="1B605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6" w:type="dxa"/>
            <w:vMerge w:val="continue"/>
            <w:vAlign w:val="center"/>
          </w:tcPr>
          <w:p w14:paraId="1A7C24F2">
            <w:pPr>
              <w:pStyle w:val="231"/>
              <w:ind w:firstLine="400"/>
              <w:jc w:val="center"/>
              <w:rPr>
                <w:rFonts w:ascii="Times New Roman" w:hAnsi="Times New Roman"/>
                <w:szCs w:val="21"/>
              </w:rPr>
            </w:pPr>
          </w:p>
        </w:tc>
        <w:tc>
          <w:tcPr>
            <w:tcW w:w="1985" w:type="dxa"/>
            <w:vAlign w:val="center"/>
          </w:tcPr>
          <w:p w14:paraId="1EC618F0">
            <w:pPr>
              <w:pStyle w:val="231"/>
              <w:ind w:firstLine="0" w:firstLineChars="0"/>
              <w:jc w:val="center"/>
              <w:rPr>
                <w:rFonts w:ascii="Times New Roman" w:hAnsi="Times New Roman"/>
                <w:szCs w:val="21"/>
              </w:rPr>
            </w:pPr>
            <w:r>
              <w:rPr>
                <w:rFonts w:ascii="Times New Roman" w:hAnsi="Times New Roman"/>
                <w:szCs w:val="21"/>
              </w:rPr>
              <w:t>日灼</w:t>
            </w:r>
          </w:p>
        </w:tc>
        <w:tc>
          <w:tcPr>
            <w:tcW w:w="1876" w:type="dxa"/>
          </w:tcPr>
          <w:p w14:paraId="341A913A">
            <w:pPr>
              <w:jc w:val="center"/>
              <w:rPr>
                <w:rFonts w:ascii="Times New Roman" w:hAnsi="Times New Roman"/>
              </w:rPr>
            </w:pPr>
            <w:r>
              <w:rPr>
                <w:rFonts w:ascii="Times New Roman" w:hAnsi="Times New Roman"/>
              </w:rPr>
              <w:t>无</w:t>
            </w:r>
          </w:p>
        </w:tc>
        <w:tc>
          <w:tcPr>
            <w:tcW w:w="2390" w:type="dxa"/>
          </w:tcPr>
          <w:p w14:paraId="0BA00956">
            <w:pPr>
              <w:jc w:val="center"/>
              <w:rPr>
                <w:rFonts w:ascii="Times New Roman" w:hAnsi="Times New Roman"/>
              </w:rPr>
            </w:pPr>
            <w:r>
              <w:rPr>
                <w:rFonts w:ascii="Times New Roman" w:hAnsi="Times New Roman"/>
              </w:rPr>
              <w:t>无</w:t>
            </w:r>
          </w:p>
        </w:tc>
        <w:tc>
          <w:tcPr>
            <w:tcW w:w="2389" w:type="dxa"/>
            <w:vAlign w:val="center"/>
          </w:tcPr>
          <w:p w14:paraId="2DFA5BB2">
            <w:pPr>
              <w:pStyle w:val="231"/>
              <w:ind w:firstLine="0" w:firstLineChars="0"/>
              <w:jc w:val="center"/>
              <w:rPr>
                <w:rFonts w:ascii="Times New Roman" w:hAnsi="Times New Roman"/>
                <w:szCs w:val="21"/>
              </w:rPr>
            </w:pPr>
            <w:r>
              <w:rPr>
                <w:rFonts w:ascii="Times New Roman" w:hAnsi="Times New Roman"/>
                <w:szCs w:val="21"/>
              </w:rPr>
              <w:t>面积</w:t>
            </w:r>
            <w:r>
              <w:rPr>
                <w:rFonts w:ascii="Times New Roman"/>
                <w:color w:val="000000"/>
              </w:rPr>
              <w:t>≤1.0cm</w:t>
            </w:r>
            <w:r>
              <w:rPr>
                <w:rFonts w:ascii="Times New Roman"/>
                <w:color w:val="000000"/>
                <w:vertAlign w:val="superscript"/>
              </w:rPr>
              <w:t>2</w:t>
            </w:r>
          </w:p>
        </w:tc>
      </w:tr>
      <w:tr w14:paraId="281E1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6" w:type="dxa"/>
            <w:vMerge w:val="continue"/>
            <w:vAlign w:val="center"/>
          </w:tcPr>
          <w:p w14:paraId="7AA8BFC2">
            <w:pPr>
              <w:pStyle w:val="231"/>
              <w:ind w:firstLine="400"/>
              <w:jc w:val="center"/>
              <w:rPr>
                <w:rFonts w:ascii="Times New Roman" w:hAnsi="Times New Roman"/>
                <w:szCs w:val="21"/>
              </w:rPr>
            </w:pPr>
          </w:p>
        </w:tc>
        <w:tc>
          <w:tcPr>
            <w:tcW w:w="1985" w:type="dxa"/>
            <w:vAlign w:val="center"/>
          </w:tcPr>
          <w:p w14:paraId="0F4A3E74">
            <w:pPr>
              <w:pStyle w:val="231"/>
              <w:ind w:firstLine="0" w:firstLineChars="0"/>
              <w:jc w:val="center"/>
              <w:rPr>
                <w:rFonts w:ascii="Times New Roman" w:hAnsi="Times New Roman"/>
                <w:szCs w:val="21"/>
              </w:rPr>
            </w:pPr>
            <w:r>
              <w:rPr>
                <w:rFonts w:ascii="Times New Roman" w:hAnsi="Times New Roman"/>
                <w:szCs w:val="21"/>
              </w:rPr>
              <w:t>雹伤</w:t>
            </w:r>
          </w:p>
        </w:tc>
        <w:tc>
          <w:tcPr>
            <w:tcW w:w="1876" w:type="dxa"/>
          </w:tcPr>
          <w:p w14:paraId="1770B4AF">
            <w:pPr>
              <w:jc w:val="center"/>
              <w:rPr>
                <w:rFonts w:ascii="Times New Roman" w:hAnsi="Times New Roman"/>
              </w:rPr>
            </w:pPr>
            <w:r>
              <w:rPr>
                <w:rFonts w:ascii="Times New Roman" w:hAnsi="Times New Roman"/>
              </w:rPr>
              <w:t>无</w:t>
            </w:r>
          </w:p>
        </w:tc>
        <w:tc>
          <w:tcPr>
            <w:tcW w:w="2390" w:type="dxa"/>
          </w:tcPr>
          <w:p w14:paraId="5FA635A4">
            <w:pPr>
              <w:jc w:val="center"/>
              <w:rPr>
                <w:rFonts w:ascii="Times New Roman" w:hAnsi="Times New Roman"/>
              </w:rPr>
            </w:pPr>
            <w:r>
              <w:rPr>
                <w:rFonts w:ascii="Times New Roman" w:hAnsi="Times New Roman"/>
              </w:rPr>
              <w:t>无</w:t>
            </w:r>
          </w:p>
        </w:tc>
        <w:tc>
          <w:tcPr>
            <w:tcW w:w="2389" w:type="dxa"/>
            <w:vAlign w:val="center"/>
          </w:tcPr>
          <w:p w14:paraId="341D34FE">
            <w:pPr>
              <w:pStyle w:val="231"/>
              <w:ind w:firstLine="0" w:firstLineChars="0"/>
              <w:jc w:val="center"/>
              <w:rPr>
                <w:rFonts w:ascii="Times New Roman" w:hAnsi="Times New Roman"/>
                <w:szCs w:val="21"/>
              </w:rPr>
            </w:pPr>
            <w:r>
              <w:rPr>
                <w:rFonts w:ascii="Times New Roman" w:hAnsi="Times New Roman"/>
                <w:szCs w:val="21"/>
              </w:rPr>
              <w:t>面积</w:t>
            </w:r>
            <w:r>
              <w:rPr>
                <w:rFonts w:ascii="Times New Roman"/>
                <w:color w:val="000000"/>
              </w:rPr>
              <w:t>≤0.8cm</w:t>
            </w:r>
            <w:r>
              <w:rPr>
                <w:rFonts w:ascii="Times New Roman"/>
                <w:color w:val="000000"/>
                <w:vertAlign w:val="superscript"/>
              </w:rPr>
              <w:t>2</w:t>
            </w:r>
          </w:p>
        </w:tc>
      </w:tr>
      <w:tr w14:paraId="0B58C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81" w:type="dxa"/>
            <w:gridSpan w:val="2"/>
            <w:vAlign w:val="center"/>
          </w:tcPr>
          <w:p w14:paraId="39370479">
            <w:pPr>
              <w:jc w:val="center"/>
              <w:rPr>
                <w:rFonts w:ascii="Times New Roman" w:hAnsi="Times New Roman"/>
              </w:rPr>
            </w:pPr>
            <w:r>
              <w:rPr>
                <w:rFonts w:ascii="Times New Roman" w:hAnsi="Times New Roman"/>
              </w:rPr>
              <w:t>果实硬度</w:t>
            </w:r>
            <w:r>
              <w:rPr>
                <w:rFonts w:ascii="Times New Roman" w:hAnsi="Times New Roman"/>
                <w:vertAlign w:val="superscript"/>
              </w:rPr>
              <w:t>a</w:t>
            </w:r>
          </w:p>
        </w:tc>
        <w:tc>
          <w:tcPr>
            <w:tcW w:w="1876" w:type="dxa"/>
            <w:vAlign w:val="center"/>
          </w:tcPr>
          <w:p w14:paraId="26C39D21">
            <w:pPr>
              <w:jc w:val="center"/>
              <w:rPr>
                <w:rFonts w:ascii="Times New Roman" w:hAnsi="Times New Roman"/>
              </w:rPr>
            </w:pPr>
            <w:r>
              <w:rPr>
                <w:rFonts w:ascii="Times New Roman" w:hAnsi="Times New Roman"/>
              </w:rPr>
              <w:t>≥7.5 kg/cm</w:t>
            </w:r>
            <w:r>
              <w:rPr>
                <w:rFonts w:ascii="Times New Roman" w:hAnsi="Times New Roman"/>
                <w:vertAlign w:val="superscript"/>
              </w:rPr>
              <w:t>2</w:t>
            </w:r>
          </w:p>
        </w:tc>
        <w:tc>
          <w:tcPr>
            <w:tcW w:w="2390" w:type="dxa"/>
            <w:vAlign w:val="center"/>
          </w:tcPr>
          <w:p w14:paraId="774462F3">
            <w:pPr>
              <w:jc w:val="center"/>
              <w:rPr>
                <w:rFonts w:ascii="Times New Roman" w:hAnsi="Times New Roman"/>
              </w:rPr>
            </w:pPr>
            <w:r>
              <w:rPr>
                <w:rFonts w:ascii="Times New Roman" w:hAnsi="Times New Roman"/>
              </w:rPr>
              <w:t>≥7.5 kg/cm</w:t>
            </w:r>
            <w:r>
              <w:rPr>
                <w:rFonts w:ascii="Times New Roman" w:hAnsi="Times New Roman"/>
                <w:vertAlign w:val="superscript"/>
              </w:rPr>
              <w:t>2</w:t>
            </w:r>
          </w:p>
        </w:tc>
        <w:tc>
          <w:tcPr>
            <w:tcW w:w="2389" w:type="dxa"/>
            <w:vAlign w:val="center"/>
          </w:tcPr>
          <w:p w14:paraId="669B45F1">
            <w:pPr>
              <w:jc w:val="center"/>
              <w:rPr>
                <w:rFonts w:ascii="Times New Roman" w:hAnsi="Times New Roman"/>
              </w:rPr>
            </w:pPr>
            <w:r>
              <w:rPr>
                <w:rFonts w:ascii="Times New Roman" w:hAnsi="Times New Roman"/>
              </w:rPr>
              <w:t>≥7.0 kg/cm</w:t>
            </w:r>
            <w:r>
              <w:rPr>
                <w:rFonts w:ascii="Times New Roman" w:hAnsi="Times New Roman"/>
                <w:vertAlign w:val="superscript"/>
              </w:rPr>
              <w:t>2</w:t>
            </w:r>
          </w:p>
        </w:tc>
      </w:tr>
      <w:tr w14:paraId="5159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81" w:type="dxa"/>
            <w:gridSpan w:val="2"/>
            <w:vAlign w:val="center"/>
          </w:tcPr>
          <w:p w14:paraId="5C7781A8">
            <w:pPr>
              <w:jc w:val="center"/>
              <w:rPr>
                <w:rFonts w:ascii="Times New Roman" w:hAnsi="Times New Roman"/>
              </w:rPr>
            </w:pPr>
            <w:r>
              <w:rPr>
                <w:rFonts w:ascii="Times New Roman" w:hAnsi="Times New Roman"/>
              </w:rPr>
              <w:t>可溶性固形物</w:t>
            </w:r>
            <w:r>
              <w:rPr>
                <w:rFonts w:hint="eastAsia" w:ascii="Times New Roman" w:hAnsi="Times New Roman"/>
              </w:rPr>
              <w:t>含量</w:t>
            </w:r>
          </w:p>
        </w:tc>
        <w:tc>
          <w:tcPr>
            <w:tcW w:w="1876" w:type="dxa"/>
          </w:tcPr>
          <w:p w14:paraId="7EF3F126">
            <w:pPr>
              <w:jc w:val="center"/>
              <w:rPr>
                <w:rFonts w:ascii="Times New Roman" w:hAnsi="Times New Roman"/>
              </w:rPr>
            </w:pPr>
            <w:r>
              <w:rPr>
                <w:rFonts w:ascii="Times New Roman" w:hAnsi="Times New Roman"/>
              </w:rPr>
              <w:t>≥14.5%</w:t>
            </w:r>
          </w:p>
        </w:tc>
        <w:tc>
          <w:tcPr>
            <w:tcW w:w="2390" w:type="dxa"/>
          </w:tcPr>
          <w:p w14:paraId="7E933E9B">
            <w:pPr>
              <w:jc w:val="center"/>
              <w:rPr>
                <w:rFonts w:ascii="Times New Roman" w:hAnsi="Times New Roman"/>
              </w:rPr>
            </w:pPr>
            <w:r>
              <w:rPr>
                <w:rFonts w:ascii="Times New Roman" w:hAnsi="Times New Roman"/>
              </w:rPr>
              <w:t>≥14.0%</w:t>
            </w:r>
          </w:p>
        </w:tc>
        <w:tc>
          <w:tcPr>
            <w:tcW w:w="2389" w:type="dxa"/>
          </w:tcPr>
          <w:p w14:paraId="3B1038C8">
            <w:pPr>
              <w:jc w:val="center"/>
              <w:rPr>
                <w:rFonts w:ascii="Times New Roman" w:hAnsi="Times New Roman"/>
              </w:rPr>
            </w:pPr>
            <w:r>
              <w:rPr>
                <w:rFonts w:ascii="Times New Roman" w:hAnsi="Times New Roman"/>
              </w:rPr>
              <w:t>≥13.5%</w:t>
            </w:r>
          </w:p>
        </w:tc>
      </w:tr>
      <w:tr w14:paraId="68055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681" w:type="dxa"/>
            <w:gridSpan w:val="2"/>
            <w:vAlign w:val="center"/>
          </w:tcPr>
          <w:p w14:paraId="45F989E6">
            <w:pPr>
              <w:pStyle w:val="231"/>
              <w:ind w:firstLine="0" w:firstLineChars="0"/>
              <w:jc w:val="center"/>
              <w:rPr>
                <w:rFonts w:ascii="Times New Roman"/>
                <w:color w:val="000000"/>
              </w:rPr>
            </w:pPr>
            <w:r>
              <w:rPr>
                <w:rFonts w:ascii="Times New Roman"/>
                <w:color w:val="000000"/>
              </w:rPr>
              <w:t>横径，mm</w:t>
            </w:r>
          </w:p>
        </w:tc>
        <w:tc>
          <w:tcPr>
            <w:tcW w:w="1876" w:type="dxa"/>
            <w:vAlign w:val="center"/>
          </w:tcPr>
          <w:p w14:paraId="0E9FB013">
            <w:pPr>
              <w:pStyle w:val="231"/>
              <w:ind w:firstLine="0" w:firstLineChars="0"/>
              <w:jc w:val="center"/>
              <w:rPr>
                <w:rFonts w:ascii="Times New Roman"/>
                <w:color w:val="000000"/>
              </w:rPr>
            </w:pPr>
            <w:r>
              <w:rPr>
                <w:rFonts w:ascii="Times New Roman"/>
                <w:color w:val="000000" w:themeColor="text1"/>
                <w14:textFill>
                  <w14:solidFill>
                    <w14:schemeClr w14:val="tx1"/>
                  </w14:solidFill>
                </w14:textFill>
              </w:rPr>
              <w:t>≥</w:t>
            </w:r>
            <w:r>
              <w:rPr>
                <w:rFonts w:ascii="Times New Roman"/>
                <w:color w:val="000000"/>
              </w:rPr>
              <w:t>75</w:t>
            </w:r>
            <w:r>
              <w:rPr>
                <w:rFonts w:hint="eastAsia" w:ascii="Times New Roman"/>
                <w:color w:val="000000"/>
              </w:rPr>
              <w:t>，</w:t>
            </w:r>
            <w:r>
              <w:rPr>
                <w:rFonts w:ascii="Times New Roman"/>
                <w:color w:val="000000"/>
              </w:rPr>
              <w:t>≤90</w:t>
            </w:r>
          </w:p>
        </w:tc>
        <w:tc>
          <w:tcPr>
            <w:tcW w:w="2390" w:type="dxa"/>
            <w:vAlign w:val="center"/>
          </w:tcPr>
          <w:p w14:paraId="55591B28">
            <w:pPr>
              <w:pStyle w:val="231"/>
              <w:ind w:firstLine="0" w:firstLineChars="0"/>
              <w:jc w:val="center"/>
              <w:rPr>
                <w:rFonts w:ascii="Times New Roman"/>
                <w:color w:val="000000"/>
              </w:rPr>
            </w:pPr>
            <w:r>
              <w:rPr>
                <w:rFonts w:ascii="Times New Roman"/>
                <w:color w:val="000000" w:themeColor="text1"/>
                <w14:textFill>
                  <w14:solidFill>
                    <w14:schemeClr w14:val="tx1"/>
                  </w14:solidFill>
                </w14:textFill>
              </w:rPr>
              <w:t>≥</w:t>
            </w:r>
            <w:r>
              <w:rPr>
                <w:rFonts w:ascii="Times New Roman"/>
                <w:color w:val="000000"/>
              </w:rPr>
              <w:t>7</w:t>
            </w:r>
            <w:r>
              <w:rPr>
                <w:rFonts w:hint="eastAsia" w:ascii="Times New Roman"/>
                <w:color w:val="000000"/>
              </w:rPr>
              <w:t>0，</w:t>
            </w:r>
            <w:r>
              <w:rPr>
                <w:rFonts w:ascii="Times New Roman"/>
                <w:color w:val="000000"/>
              </w:rPr>
              <w:t>≤90</w:t>
            </w:r>
          </w:p>
        </w:tc>
        <w:tc>
          <w:tcPr>
            <w:tcW w:w="2389" w:type="dxa"/>
            <w:vAlign w:val="center"/>
          </w:tcPr>
          <w:p w14:paraId="2377162A">
            <w:pPr>
              <w:pStyle w:val="231"/>
              <w:ind w:firstLine="0" w:firstLineChars="0"/>
              <w:jc w:val="center"/>
              <w:rPr>
                <w:rFonts w:ascii="Times New Roman"/>
                <w:color w:val="000000"/>
              </w:rPr>
            </w:pPr>
            <w:r>
              <w:rPr>
                <w:rFonts w:ascii="Times New Roman"/>
                <w:color w:val="000000" w:themeColor="text1"/>
                <w14:textFill>
                  <w14:solidFill>
                    <w14:schemeClr w14:val="tx1"/>
                  </w14:solidFill>
                </w14:textFill>
              </w:rPr>
              <w:t>≥</w:t>
            </w:r>
            <w:r>
              <w:rPr>
                <w:rFonts w:ascii="Times New Roman"/>
                <w:color w:val="000000"/>
              </w:rPr>
              <w:t>70</w:t>
            </w:r>
            <w:r>
              <w:rPr>
                <w:rFonts w:hint="eastAsia" w:ascii="Times New Roman"/>
                <w:color w:val="000000"/>
              </w:rPr>
              <w:t>，</w:t>
            </w:r>
            <w:r>
              <w:rPr>
                <w:rFonts w:ascii="Times New Roman"/>
                <w:color w:val="000000"/>
              </w:rPr>
              <w:t>≤9</w:t>
            </w:r>
            <w:r>
              <w:rPr>
                <w:rFonts w:hint="eastAsia" w:ascii="Times New Roman"/>
                <w:color w:val="000000"/>
              </w:rPr>
              <w:t>5</w:t>
            </w:r>
          </w:p>
        </w:tc>
      </w:tr>
      <w:tr w14:paraId="04A5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9336" w:type="dxa"/>
            <w:gridSpan w:val="5"/>
            <w:vAlign w:val="center"/>
          </w:tcPr>
          <w:p w14:paraId="4073A98A">
            <w:pPr>
              <w:ind w:firstLine="630" w:firstLineChars="300"/>
              <w:jc w:val="left"/>
              <w:rPr>
                <w:rFonts w:ascii="Times New Roman" w:hAnsi="Times New Roman"/>
              </w:rPr>
            </w:pPr>
            <w:r>
              <w:rPr>
                <w:rFonts w:ascii="Times New Roman" w:hAnsi="Times New Roman"/>
              </w:rPr>
              <w:t>a  次年2月后出库检验时果实硬度可下调0.2kg/cm</w:t>
            </w:r>
            <w:r>
              <w:rPr>
                <w:rFonts w:ascii="Times New Roman" w:hAnsi="Times New Roman"/>
                <w:vertAlign w:val="superscript"/>
              </w:rPr>
              <w:t>2</w:t>
            </w:r>
          </w:p>
        </w:tc>
      </w:tr>
    </w:tbl>
    <w:p w14:paraId="2F679959">
      <w:pPr>
        <w:pStyle w:val="105"/>
        <w:spacing w:before="120" w:after="120"/>
      </w:pPr>
      <w:r>
        <w:rPr>
          <w:rFonts w:hint="eastAsia"/>
        </w:rPr>
        <w:t>规格要求</w:t>
      </w:r>
    </w:p>
    <w:p w14:paraId="21F5B96E">
      <w:pPr>
        <w:pStyle w:val="56"/>
        <w:ind w:firstLine="420"/>
      </w:pPr>
      <w:r>
        <w:rPr>
          <w:rFonts w:hint="eastAsia"/>
        </w:rPr>
        <w:t>瑞雪苹果按照果实横径分为特大果、大果、中果、效果四种规格，</w:t>
      </w:r>
      <w:r>
        <w:rPr>
          <w:rFonts w:hint="eastAsia" w:ascii="宋体" w:hAnsi="宋体"/>
          <w:color w:val="000000"/>
        </w:rPr>
        <w:t>各规格要求</w:t>
      </w:r>
      <w:r>
        <w:rPr>
          <w:rFonts w:ascii="宋体" w:hAnsi="宋体"/>
          <w:color w:val="000000"/>
        </w:rPr>
        <w:t>应符合表</w:t>
      </w:r>
      <w:r>
        <w:rPr>
          <w:rFonts w:hint="eastAsia" w:ascii="宋体" w:hAnsi="宋体"/>
          <w:color w:val="000000"/>
        </w:rPr>
        <w:t>2规定</w:t>
      </w:r>
      <w:r>
        <w:rPr>
          <w:rFonts w:hint="eastAsia"/>
        </w:rPr>
        <w:t>。</w:t>
      </w:r>
    </w:p>
    <w:p w14:paraId="5364D3C0">
      <w:pPr>
        <w:pStyle w:val="112"/>
        <w:spacing w:before="120" w:after="120"/>
      </w:pPr>
      <w:r>
        <w:rPr>
          <w:rFonts w:hint="eastAsia"/>
        </w:rPr>
        <w:t>规格要求</w:t>
      </w:r>
    </w:p>
    <w:tbl>
      <w:tblPr>
        <w:tblStyle w:val="27"/>
        <w:tblW w:w="8695" w:type="dxa"/>
        <w:tblInd w:w="9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603"/>
        <w:gridCol w:w="1900"/>
        <w:gridCol w:w="1917"/>
        <w:gridCol w:w="1591"/>
        <w:gridCol w:w="1684"/>
      </w:tblGrid>
      <w:tr w14:paraId="2C8F92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8" w:hRule="atLeast"/>
        </w:trPr>
        <w:tc>
          <w:tcPr>
            <w:tcW w:w="1603" w:type="dxa"/>
            <w:tcBorders>
              <w:top w:val="single" w:color="auto" w:sz="8" w:space="0"/>
              <w:left w:val="single" w:color="auto" w:sz="8" w:space="0"/>
              <w:bottom w:val="single" w:color="auto" w:sz="8" w:space="0"/>
              <w:right w:val="single" w:color="auto" w:sz="4" w:space="0"/>
            </w:tcBorders>
            <w:vAlign w:val="center"/>
          </w:tcPr>
          <w:p w14:paraId="06807209">
            <w:pPr>
              <w:pStyle w:val="178"/>
              <w:widowControl w:val="0"/>
              <w:rPr>
                <w:color w:val="000000"/>
                <w:sz w:val="20"/>
              </w:rPr>
            </w:pPr>
            <w:r>
              <w:rPr>
                <w:color w:val="000000"/>
                <w:sz w:val="20"/>
              </w:rPr>
              <w:t>规格</w:t>
            </w:r>
          </w:p>
        </w:tc>
        <w:tc>
          <w:tcPr>
            <w:tcW w:w="1900" w:type="dxa"/>
            <w:tcBorders>
              <w:top w:val="single" w:color="auto" w:sz="8" w:space="0"/>
              <w:left w:val="single" w:color="auto" w:sz="4" w:space="0"/>
              <w:bottom w:val="single" w:color="auto" w:sz="8" w:space="0"/>
              <w:right w:val="single" w:color="auto" w:sz="4" w:space="0"/>
            </w:tcBorders>
            <w:vAlign w:val="center"/>
          </w:tcPr>
          <w:p w14:paraId="68270AB8">
            <w:pPr>
              <w:pStyle w:val="178"/>
              <w:widowControl w:val="0"/>
              <w:rPr>
                <w:color w:val="000000"/>
                <w:sz w:val="20"/>
              </w:rPr>
            </w:pPr>
            <w:r>
              <w:rPr>
                <w:color w:val="000000"/>
                <w:sz w:val="20"/>
              </w:rPr>
              <w:t>小果（S）</w:t>
            </w:r>
          </w:p>
        </w:tc>
        <w:tc>
          <w:tcPr>
            <w:tcW w:w="1917" w:type="dxa"/>
            <w:tcBorders>
              <w:top w:val="single" w:color="auto" w:sz="8" w:space="0"/>
              <w:left w:val="single" w:color="auto" w:sz="4" w:space="0"/>
              <w:bottom w:val="single" w:color="auto" w:sz="8" w:space="0"/>
              <w:right w:val="single" w:color="auto" w:sz="4" w:space="0"/>
            </w:tcBorders>
            <w:vAlign w:val="center"/>
          </w:tcPr>
          <w:p w14:paraId="0BAB6DCE">
            <w:pPr>
              <w:pStyle w:val="178"/>
              <w:widowControl w:val="0"/>
              <w:rPr>
                <w:color w:val="000000"/>
                <w:sz w:val="20"/>
              </w:rPr>
            </w:pPr>
            <w:r>
              <w:rPr>
                <w:color w:val="000000"/>
                <w:sz w:val="20"/>
              </w:rPr>
              <w:t>中果（M）</w:t>
            </w:r>
          </w:p>
        </w:tc>
        <w:tc>
          <w:tcPr>
            <w:tcW w:w="1591" w:type="dxa"/>
            <w:tcBorders>
              <w:top w:val="single" w:color="auto" w:sz="8" w:space="0"/>
              <w:left w:val="single" w:color="auto" w:sz="4" w:space="0"/>
              <w:bottom w:val="single" w:color="auto" w:sz="8" w:space="0"/>
              <w:right w:val="single" w:color="auto" w:sz="8" w:space="0"/>
            </w:tcBorders>
            <w:vAlign w:val="center"/>
          </w:tcPr>
          <w:p w14:paraId="71C9F5FE">
            <w:pPr>
              <w:pStyle w:val="178"/>
              <w:widowControl w:val="0"/>
              <w:rPr>
                <w:color w:val="000000"/>
                <w:sz w:val="20"/>
              </w:rPr>
            </w:pPr>
            <w:r>
              <w:rPr>
                <w:color w:val="000000"/>
                <w:sz w:val="20"/>
              </w:rPr>
              <w:t>大果（L）</w:t>
            </w:r>
          </w:p>
        </w:tc>
        <w:tc>
          <w:tcPr>
            <w:tcW w:w="1684" w:type="dxa"/>
            <w:tcBorders>
              <w:top w:val="single" w:color="auto" w:sz="8" w:space="0"/>
              <w:left w:val="single" w:color="auto" w:sz="4" w:space="0"/>
              <w:bottom w:val="single" w:color="auto" w:sz="8" w:space="0"/>
              <w:right w:val="single" w:color="auto" w:sz="8" w:space="0"/>
            </w:tcBorders>
            <w:vAlign w:val="center"/>
          </w:tcPr>
          <w:p w14:paraId="0BAD25DE">
            <w:pPr>
              <w:pStyle w:val="178"/>
              <w:widowControl w:val="0"/>
              <w:rPr>
                <w:color w:val="000000"/>
                <w:sz w:val="20"/>
              </w:rPr>
            </w:pPr>
            <w:r>
              <w:rPr>
                <w:rFonts w:hint="eastAsia"/>
                <w:color w:val="000000"/>
                <w:sz w:val="20"/>
              </w:rPr>
              <w:t>特大果（XL）</w:t>
            </w:r>
          </w:p>
        </w:tc>
      </w:tr>
      <w:tr w14:paraId="7BC557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9" w:hRule="atLeast"/>
        </w:trPr>
        <w:tc>
          <w:tcPr>
            <w:tcW w:w="1603" w:type="dxa"/>
            <w:tcBorders>
              <w:top w:val="single" w:color="auto" w:sz="8" w:space="0"/>
              <w:left w:val="single" w:color="auto" w:sz="8" w:space="0"/>
              <w:bottom w:val="single" w:color="auto" w:sz="8" w:space="0"/>
              <w:right w:val="single" w:color="auto" w:sz="4" w:space="0"/>
            </w:tcBorders>
            <w:vAlign w:val="center"/>
          </w:tcPr>
          <w:p w14:paraId="43949074">
            <w:pPr>
              <w:pStyle w:val="178"/>
              <w:widowControl w:val="0"/>
              <w:rPr>
                <w:color w:val="000000"/>
                <w:sz w:val="20"/>
              </w:rPr>
            </w:pPr>
            <w:r>
              <w:rPr>
                <w:color w:val="000000"/>
                <w:sz w:val="20"/>
              </w:rPr>
              <w:t>横径，mm</w:t>
            </w:r>
          </w:p>
        </w:tc>
        <w:tc>
          <w:tcPr>
            <w:tcW w:w="1900" w:type="dxa"/>
            <w:tcBorders>
              <w:top w:val="single" w:color="auto" w:sz="8" w:space="0"/>
              <w:left w:val="single" w:color="auto" w:sz="4" w:space="0"/>
              <w:bottom w:val="single" w:color="auto" w:sz="8" w:space="0"/>
              <w:right w:val="single" w:color="auto" w:sz="4" w:space="0"/>
            </w:tcBorders>
            <w:vAlign w:val="center"/>
          </w:tcPr>
          <w:p w14:paraId="08D0233A">
            <w:pPr>
              <w:pStyle w:val="178"/>
              <w:widowControl w:val="0"/>
              <w:rPr>
                <w:color w:val="000000"/>
                <w:sz w:val="20"/>
              </w:rPr>
            </w:pPr>
            <w:r>
              <w:rPr>
                <w:color w:val="000000" w:themeColor="text1"/>
                <w:sz w:val="20"/>
                <w14:textFill>
                  <w14:solidFill>
                    <w14:schemeClr w14:val="tx1"/>
                  </w14:solidFill>
                </w14:textFill>
              </w:rPr>
              <w:t>≥</w:t>
            </w:r>
            <w:r>
              <w:rPr>
                <w:color w:val="000000"/>
                <w:sz w:val="20"/>
              </w:rPr>
              <w:t>7</w:t>
            </w:r>
            <w:r>
              <w:rPr>
                <w:rFonts w:hint="eastAsia"/>
                <w:color w:val="000000"/>
                <w:sz w:val="20"/>
              </w:rPr>
              <w:t>0，＜75</w:t>
            </w:r>
          </w:p>
        </w:tc>
        <w:tc>
          <w:tcPr>
            <w:tcW w:w="1917" w:type="dxa"/>
            <w:tcBorders>
              <w:top w:val="single" w:color="auto" w:sz="8" w:space="0"/>
              <w:left w:val="single" w:color="auto" w:sz="4" w:space="0"/>
              <w:bottom w:val="single" w:color="auto" w:sz="8" w:space="0"/>
              <w:right w:val="single" w:color="auto" w:sz="4" w:space="0"/>
            </w:tcBorders>
            <w:vAlign w:val="center"/>
          </w:tcPr>
          <w:p w14:paraId="65F78AAD">
            <w:pPr>
              <w:pStyle w:val="178"/>
              <w:widowControl w:val="0"/>
              <w:rPr>
                <w:color w:val="000000"/>
                <w:sz w:val="20"/>
              </w:rPr>
            </w:pPr>
            <w:r>
              <w:rPr>
                <w:rFonts w:hint="eastAsia"/>
                <w:color w:val="000000" w:themeColor="text1"/>
                <w:sz w:val="20"/>
                <w14:textFill>
                  <w14:solidFill>
                    <w14:schemeClr w14:val="tx1"/>
                  </w14:solidFill>
                </w14:textFill>
              </w:rPr>
              <w:t>≥75，＜</w:t>
            </w:r>
            <w:r>
              <w:rPr>
                <w:rFonts w:hint="eastAsia"/>
                <w:color w:val="000000"/>
                <w:sz w:val="20"/>
              </w:rPr>
              <w:t>80</w:t>
            </w:r>
          </w:p>
        </w:tc>
        <w:tc>
          <w:tcPr>
            <w:tcW w:w="1591" w:type="dxa"/>
            <w:tcBorders>
              <w:top w:val="single" w:color="auto" w:sz="8" w:space="0"/>
              <w:left w:val="single" w:color="auto" w:sz="4" w:space="0"/>
              <w:bottom w:val="single" w:color="auto" w:sz="8" w:space="0"/>
              <w:right w:val="single" w:color="auto" w:sz="8" w:space="0"/>
            </w:tcBorders>
            <w:vAlign w:val="center"/>
          </w:tcPr>
          <w:p w14:paraId="5C4A685D">
            <w:pPr>
              <w:pStyle w:val="178"/>
              <w:widowControl w:val="0"/>
              <w:rPr>
                <w:color w:val="000000"/>
                <w:sz w:val="20"/>
              </w:rPr>
            </w:pPr>
            <w:r>
              <w:rPr>
                <w:rFonts w:hint="eastAsia"/>
                <w:color w:val="000000" w:themeColor="text1"/>
                <w:sz w:val="20"/>
                <w14:textFill>
                  <w14:solidFill>
                    <w14:schemeClr w14:val="tx1"/>
                  </w14:solidFill>
                </w14:textFill>
              </w:rPr>
              <w:t>≥80，＜</w:t>
            </w:r>
            <w:r>
              <w:rPr>
                <w:color w:val="000000"/>
                <w:sz w:val="20"/>
              </w:rPr>
              <w:t>85</w:t>
            </w:r>
          </w:p>
        </w:tc>
        <w:tc>
          <w:tcPr>
            <w:tcW w:w="1684" w:type="dxa"/>
            <w:tcBorders>
              <w:top w:val="single" w:color="auto" w:sz="8" w:space="0"/>
              <w:left w:val="single" w:color="auto" w:sz="4" w:space="0"/>
              <w:bottom w:val="single" w:color="auto" w:sz="8" w:space="0"/>
              <w:right w:val="single" w:color="auto" w:sz="8" w:space="0"/>
            </w:tcBorders>
            <w:vAlign w:val="center"/>
          </w:tcPr>
          <w:p w14:paraId="0C850251">
            <w:pPr>
              <w:pStyle w:val="178"/>
              <w:widowControl w:val="0"/>
              <w:rPr>
                <w:color w:val="000000"/>
                <w:sz w:val="20"/>
              </w:rPr>
            </w:pPr>
            <w:r>
              <w:rPr>
                <w:rFonts w:hint="eastAsia"/>
                <w:color w:val="000000"/>
                <w:sz w:val="20"/>
              </w:rPr>
              <w:t>≥</w:t>
            </w:r>
            <w:r>
              <w:rPr>
                <w:color w:val="000000"/>
                <w:sz w:val="20"/>
              </w:rPr>
              <w:t>85</w:t>
            </w:r>
          </w:p>
        </w:tc>
      </w:tr>
    </w:tbl>
    <w:p w14:paraId="7C7C8E7C">
      <w:pPr>
        <w:pStyle w:val="105"/>
        <w:spacing w:before="120" w:after="120"/>
      </w:pPr>
      <w:r>
        <w:rPr>
          <w:rFonts w:hint="eastAsia"/>
        </w:rPr>
        <w:t>容许度要求</w:t>
      </w:r>
    </w:p>
    <w:p w14:paraId="7496FD70">
      <w:pPr>
        <w:pStyle w:val="65"/>
        <w:spacing w:before="120" w:after="120"/>
      </w:pPr>
      <w:r>
        <w:t>质量容许度</w:t>
      </w:r>
    </w:p>
    <w:p w14:paraId="2E838D9F">
      <w:pPr>
        <w:pStyle w:val="94"/>
        <w:spacing w:before="120" w:after="120"/>
      </w:pPr>
      <w:r>
        <w:t>产地验收</w:t>
      </w:r>
    </w:p>
    <w:p w14:paraId="01645E46">
      <w:pPr>
        <w:pStyle w:val="56"/>
        <w:ind w:firstLine="420"/>
      </w:pPr>
      <w:r>
        <w:t>a) 特级果允许3%的果实不符合本等级质量要求。其中果面缺陷不合格果实不超过1%。</w:t>
      </w:r>
    </w:p>
    <w:p w14:paraId="0AFE0790">
      <w:pPr>
        <w:pStyle w:val="56"/>
        <w:ind w:firstLine="420"/>
      </w:pPr>
      <w:r>
        <w:t>b) 一级果允许5%的果实不符合本等级质量要求。其中果面缺陷不合格果实不超过2%。</w:t>
      </w:r>
    </w:p>
    <w:p w14:paraId="4965B299">
      <w:pPr>
        <w:pStyle w:val="56"/>
        <w:ind w:firstLine="420"/>
      </w:pPr>
      <w:r>
        <w:t>c) 二级果允许8%的果实不符合本等级质量要求。其中果面缺陷不合格果实不超过5%。</w:t>
      </w:r>
    </w:p>
    <w:p w14:paraId="63910415">
      <w:pPr>
        <w:pStyle w:val="94"/>
        <w:spacing w:before="120" w:after="120"/>
      </w:pPr>
      <w:r>
        <w:t>自起运点至收货点</w:t>
      </w:r>
    </w:p>
    <w:p w14:paraId="7B74E834">
      <w:pPr>
        <w:pStyle w:val="56"/>
        <w:ind w:firstLine="420"/>
      </w:pPr>
      <w:r>
        <w:t>a) 特</w:t>
      </w:r>
      <w:r>
        <w:rPr>
          <w:rFonts w:hint="eastAsia"/>
        </w:rPr>
        <w:t>级果</w:t>
      </w:r>
      <w:r>
        <w:t>：允许5%的果实不符合本等级质量要求。其中果面缺陷不合格果不得超过2%。</w:t>
      </w:r>
    </w:p>
    <w:p w14:paraId="1DF3868A">
      <w:pPr>
        <w:pStyle w:val="56"/>
        <w:ind w:firstLine="420"/>
      </w:pPr>
      <w:r>
        <w:t>b) 一</w:t>
      </w:r>
      <w:r>
        <w:rPr>
          <w:rFonts w:hint="eastAsia"/>
        </w:rPr>
        <w:t>级果</w:t>
      </w:r>
      <w:r>
        <w:t>：允许8%的果实不符合本等级质量要求。其中果面缺陷不合格果不得超过5%。</w:t>
      </w:r>
    </w:p>
    <w:p w14:paraId="51C86218">
      <w:pPr>
        <w:pStyle w:val="56"/>
        <w:ind w:firstLine="420"/>
      </w:pPr>
      <w:r>
        <w:t>c) 二</w:t>
      </w:r>
      <w:r>
        <w:rPr>
          <w:rFonts w:hint="eastAsia"/>
        </w:rPr>
        <w:t>级果</w:t>
      </w:r>
      <w:r>
        <w:t>：允许10%的果实不符合本等级质量要求。其中果面缺陷不合格果不得超过7%。</w:t>
      </w:r>
    </w:p>
    <w:p w14:paraId="7B1E6904">
      <w:pPr>
        <w:pStyle w:val="65"/>
        <w:spacing w:before="120" w:after="120"/>
      </w:pPr>
      <w:r>
        <w:t>大小的容许度</w:t>
      </w:r>
    </w:p>
    <w:p w14:paraId="37326055">
      <w:pPr>
        <w:pStyle w:val="56"/>
        <w:ind w:firstLine="420"/>
      </w:pPr>
      <w:r>
        <w:t>允许各等级果径有5%高于或低于规定的范围，在全批中果实大小差异不宜过于显著。各级苹果容许度规定允许的不合格果，只能是邻级果，不允许隔级果。</w:t>
      </w:r>
    </w:p>
    <w:p w14:paraId="2846E2C7">
      <w:pPr>
        <w:pStyle w:val="65"/>
        <w:spacing w:before="120" w:after="120"/>
      </w:pPr>
      <w:r>
        <w:t>容许度测算</w:t>
      </w:r>
    </w:p>
    <w:p w14:paraId="7A85C777">
      <w:pPr>
        <w:pStyle w:val="56"/>
        <w:ind w:firstLine="420"/>
        <w:rPr>
          <w:rFonts w:ascii="宋体" w:hAnsi="宋体"/>
          <w:szCs w:val="21"/>
        </w:rPr>
      </w:pPr>
      <w:r>
        <w:rPr>
          <w:rFonts w:ascii="Segoe UI" w:hAnsi="Segoe UI" w:cs="Segoe UI"/>
          <w:color w:val="0F1115"/>
          <w:shd w:val="clear" w:color="auto" w:fill="FFFFFF"/>
        </w:rPr>
        <w:t>容许度按抽检样品的平均结果核算</w:t>
      </w:r>
      <w:r>
        <w:t>，不合格占比可按果实数量或重量计算。</w:t>
      </w:r>
    </w:p>
    <w:p w14:paraId="4E3794FD">
      <w:pPr>
        <w:pStyle w:val="105"/>
        <w:spacing w:before="120" w:after="120"/>
      </w:pPr>
      <w:r>
        <w:t>卫生要求</w:t>
      </w:r>
    </w:p>
    <w:p w14:paraId="26295418">
      <w:pPr>
        <w:pStyle w:val="56"/>
        <w:ind w:firstLine="420"/>
      </w:pPr>
      <w:r>
        <w:t>食品污染物限量符合GB 2762，农药最大残留限量符合GB 2763。</w:t>
      </w:r>
    </w:p>
    <w:p w14:paraId="7A0B1251">
      <w:pPr>
        <w:pStyle w:val="104"/>
        <w:spacing w:before="240" w:after="240"/>
      </w:pPr>
      <w:r>
        <w:rPr>
          <w:rFonts w:hint="eastAsia"/>
        </w:rPr>
        <w:t>检测</w:t>
      </w:r>
      <w:r>
        <w:t>方法</w:t>
      </w:r>
    </w:p>
    <w:p w14:paraId="2A1829B2">
      <w:pPr>
        <w:pStyle w:val="56"/>
        <w:ind w:firstLine="420"/>
      </w:pPr>
      <w:r>
        <w:t xml:space="preserve">按照GB/T </w:t>
      </w:r>
      <w:bookmarkStart w:id="44" w:name="OLE_LINK17"/>
      <w:bookmarkStart w:id="45" w:name="OLE_LINK16"/>
      <w:r>
        <w:t>10651</w:t>
      </w:r>
      <w:bookmarkEnd w:id="44"/>
      <w:bookmarkEnd w:id="45"/>
      <w:r>
        <w:t>-2026中的相关规定执行。</w:t>
      </w:r>
    </w:p>
    <w:p w14:paraId="6D103496">
      <w:pPr>
        <w:pStyle w:val="105"/>
        <w:spacing w:before="120" w:after="120"/>
      </w:pPr>
      <w:r>
        <w:t>等级规格检验</w:t>
      </w:r>
    </w:p>
    <w:p w14:paraId="04BBC312">
      <w:pPr>
        <w:pStyle w:val="65"/>
        <w:spacing w:before="120" w:after="120"/>
      </w:pPr>
      <w:r>
        <w:t>检验程序</w:t>
      </w:r>
    </w:p>
    <w:p w14:paraId="0C1D1995">
      <w:pPr>
        <w:pStyle w:val="56"/>
        <w:ind w:firstLine="420"/>
      </w:pPr>
      <w:r>
        <w:t>将抽取样品称重后，逐件铺放在检验台上，按规定项目检出不合格果和腐烂果，以件为单位分项记录，每批样果检验完毕后，计算检验结果，判定该批苹果的等级品质。</w:t>
      </w:r>
    </w:p>
    <w:p w14:paraId="129B5274">
      <w:pPr>
        <w:pStyle w:val="65"/>
        <w:spacing w:before="120" w:after="120"/>
      </w:pPr>
      <w:r>
        <w:t>操作和评定</w:t>
      </w:r>
    </w:p>
    <w:p w14:paraId="1F581BE8">
      <w:pPr>
        <w:pStyle w:val="164"/>
      </w:pPr>
      <w:r>
        <w:t>果实的外观指标和成熟程度由感官鉴定。</w:t>
      </w:r>
    </w:p>
    <w:p w14:paraId="61180EFC">
      <w:pPr>
        <w:pStyle w:val="164"/>
      </w:pPr>
      <w:r>
        <w:t>果实横径用标准分级果板测量确定。</w:t>
      </w:r>
    </w:p>
    <w:p w14:paraId="55B8D619">
      <w:pPr>
        <w:pStyle w:val="164"/>
      </w:pPr>
      <w:r>
        <w:t>果实单果重用电子秤称量确定。</w:t>
      </w:r>
    </w:p>
    <w:p w14:paraId="0028DFD6">
      <w:pPr>
        <w:pStyle w:val="164"/>
      </w:pPr>
      <w:r>
        <w:t>果锈、果面缺陷、果面的机械和自然损伤由目测确定。</w:t>
      </w:r>
    </w:p>
    <w:p w14:paraId="04060B28">
      <w:pPr>
        <w:pStyle w:val="164"/>
      </w:pPr>
      <w:r>
        <w:t>果实色泽的测量由目测确定。</w:t>
      </w:r>
    </w:p>
    <w:p w14:paraId="1911808A">
      <w:pPr>
        <w:pStyle w:val="105"/>
        <w:spacing w:before="120" w:after="120"/>
      </w:pPr>
      <w:r>
        <w:t>理化检验</w:t>
      </w:r>
    </w:p>
    <w:p w14:paraId="5F7B4837">
      <w:pPr>
        <w:pStyle w:val="65"/>
        <w:spacing w:before="120" w:after="120"/>
      </w:pPr>
      <w:r>
        <w:t>试样制备</w:t>
      </w:r>
    </w:p>
    <w:p w14:paraId="39CA5204">
      <w:pPr>
        <w:pStyle w:val="56"/>
        <w:ind w:firstLine="420"/>
      </w:pPr>
      <w:r>
        <w:t>每批大样中选取成熟度适中、大小中等的苹果20个，将果实洗净晾干后，用于测定果实硬度、可溶性固形物含量。</w:t>
      </w:r>
    </w:p>
    <w:p w14:paraId="601AD895">
      <w:pPr>
        <w:pStyle w:val="65"/>
        <w:spacing w:before="120" w:after="120"/>
      </w:pPr>
      <w:r>
        <w:t>果实硬度</w:t>
      </w:r>
    </w:p>
    <w:p w14:paraId="705DF951">
      <w:pPr>
        <w:pStyle w:val="56"/>
        <w:ind w:firstLine="420"/>
      </w:pPr>
      <w:r>
        <w:t>用果实硬度计测定果实阳面胴部去皮后的硬度。</w:t>
      </w:r>
    </w:p>
    <w:p w14:paraId="481CB40A">
      <w:pPr>
        <w:pStyle w:val="65"/>
        <w:spacing w:before="120" w:after="120"/>
      </w:pPr>
      <w:r>
        <w:t>可溶性固形物含量</w:t>
      </w:r>
    </w:p>
    <w:p w14:paraId="0B35AEDF">
      <w:pPr>
        <w:pStyle w:val="56"/>
        <w:ind w:firstLine="420"/>
        <w:rPr>
          <w:rFonts w:ascii="宋体" w:hAnsi="宋体"/>
          <w:szCs w:val="21"/>
        </w:rPr>
      </w:pPr>
      <w:r>
        <w:rPr>
          <w:rFonts w:hint="eastAsia"/>
        </w:rPr>
        <w:t>采用折射仪法，取果实阴阳两面果肉分别挤汁到折射仪镜头进行测试。</w:t>
      </w:r>
    </w:p>
    <w:p w14:paraId="6C4661D2">
      <w:pPr>
        <w:pStyle w:val="104"/>
        <w:spacing w:before="240" w:after="240"/>
      </w:pPr>
      <w:r>
        <w:t>检验规则</w:t>
      </w:r>
    </w:p>
    <w:p w14:paraId="09DBE10F">
      <w:pPr>
        <w:pStyle w:val="105"/>
        <w:spacing w:before="120" w:after="120"/>
      </w:pPr>
      <w:r>
        <w:t>组批规则</w:t>
      </w:r>
    </w:p>
    <w:p w14:paraId="461CA8C6">
      <w:pPr>
        <w:pStyle w:val="56"/>
        <w:ind w:firstLine="420"/>
      </w:pPr>
      <w:r>
        <w:t>同一产地、同一等级、同一规格、同一批次收购的瑞雪苹果作为一个检验批次。</w:t>
      </w:r>
    </w:p>
    <w:p w14:paraId="3708708B">
      <w:pPr>
        <w:pStyle w:val="105"/>
        <w:spacing w:before="120" w:after="120"/>
      </w:pPr>
      <w:r>
        <w:t>抽样规则</w:t>
      </w:r>
    </w:p>
    <w:p w14:paraId="53B5DBB1">
      <w:pPr>
        <w:pStyle w:val="56"/>
        <w:ind w:firstLine="420"/>
      </w:pPr>
      <w:r>
        <w:t>按件抽取样品时，</w:t>
      </w:r>
      <w:r>
        <w:rPr>
          <w:rFonts w:ascii="Segoe UI" w:hAnsi="Segoe UI" w:cs="Segoe UI"/>
          <w:color w:val="0F1115"/>
          <w:shd w:val="clear" w:color="auto" w:fill="FFFFFF"/>
        </w:rPr>
        <w:t>若单个包装重量不足，应补足至规定重量</w:t>
      </w:r>
      <w:r>
        <w:t>，并同时按包装技术要求进行包装检查。</w:t>
      </w:r>
    </w:p>
    <w:p w14:paraId="7E09DEDF">
      <w:pPr>
        <w:pStyle w:val="56"/>
        <w:ind w:firstLine="420"/>
      </w:pPr>
      <w:r>
        <w:t>一个检验批次为一个抽样批次，抽取的样品应具有代表性，在全批货物的不同部位随机抽取，样品的检验结果适用于整个检验批次。</w:t>
      </w:r>
    </w:p>
    <w:p w14:paraId="01EB97C4">
      <w:pPr>
        <w:pStyle w:val="105"/>
        <w:spacing w:before="120" w:after="120"/>
      </w:pPr>
      <w:r>
        <w:t>判定规则</w:t>
      </w:r>
    </w:p>
    <w:p w14:paraId="25977874">
      <w:pPr>
        <w:pStyle w:val="165"/>
      </w:pPr>
      <w:r>
        <w:t>在同一个样果上兼有两项或两项以上不同缺陷的，仅记录其中对品质影响较大的一项。</w:t>
      </w:r>
    </w:p>
    <w:p w14:paraId="6DF6983A">
      <w:pPr>
        <w:pStyle w:val="165"/>
      </w:pPr>
      <w:r>
        <w:t>经检验符合第4章要求的果实，该批样品按本文件判定为符合相应的等级和规格。</w:t>
      </w:r>
    </w:p>
    <w:p w14:paraId="224824D7">
      <w:pPr>
        <w:pStyle w:val="165"/>
      </w:pPr>
      <w:r>
        <w:t>对于有特殊要求的按双方合同规定执行。</w:t>
      </w:r>
    </w:p>
    <w:bookmarkEnd w:id="22"/>
    <w:p w14:paraId="16329B2A">
      <w:pPr>
        <w:pStyle w:val="56"/>
        <w:ind w:firstLine="0" w:firstLineChars="0"/>
        <w:jc w:val="center"/>
      </w:pPr>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4F41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E20E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DB7F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01CA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0F67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8FF29">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5FD99">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E05E9">
    <w:pPr>
      <w:pStyle w:val="61"/>
    </w:pPr>
    <w:r>
      <w:fldChar w:fldCharType="begin"/>
    </w:r>
    <w:r>
      <w:instrText xml:space="preserve"> STYLEREF  标准文件_文件编号  \* MERGEFORMAT </w:instrText>
    </w:r>
    <w:r>
      <w:fldChar w:fldCharType="separate"/>
    </w:r>
    <w:r>
      <w:t>T/CNCAIA 0013—2026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0C159">
    <w:pPr>
      <w:pStyle w:val="18"/>
      <w:jc w:val="right"/>
    </w:pPr>
    <w:r>
      <w:fldChar w:fldCharType="begin"/>
    </w:r>
    <w:r>
      <w:instrText xml:space="preserve"> STYLEREF  标准文件_文件编号  \* MERGEFORMAT </w:instrText>
    </w:r>
    <w:r>
      <w:fldChar w:fldCharType="separate"/>
    </w:r>
    <w:r>
      <w:t>T/CNCAIA 0013—2026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4962"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co4aA4gPqtMEc+KVMzeu53WTZBwD8L+Z7Rs6exLSK5vYdfxcUjmaZhZ9584A8mYZqfwZvs0p7nRuGfceg6Mheg==" w:salt="vUGVetkupwZDahx+SjhR7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B7F"/>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E7F42"/>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57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325"/>
    <w:rsid w:val="003B6BE3"/>
    <w:rsid w:val="003C010C"/>
    <w:rsid w:val="003C0A6C"/>
    <w:rsid w:val="003C14F8"/>
    <w:rsid w:val="003C33D2"/>
    <w:rsid w:val="003C5A43"/>
    <w:rsid w:val="003D0519"/>
    <w:rsid w:val="003D0FF6"/>
    <w:rsid w:val="003D2465"/>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0EC"/>
    <w:rsid w:val="00405884"/>
    <w:rsid w:val="00407D39"/>
    <w:rsid w:val="0041477A"/>
    <w:rsid w:val="004167A3"/>
    <w:rsid w:val="00432DAA"/>
    <w:rsid w:val="00433FB9"/>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D52"/>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67A8"/>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6F7D9D"/>
    <w:rsid w:val="007002C5"/>
    <w:rsid w:val="00704387"/>
    <w:rsid w:val="00707669"/>
    <w:rsid w:val="00711CBA"/>
    <w:rsid w:val="00711FB5"/>
    <w:rsid w:val="00712A01"/>
    <w:rsid w:val="00714F58"/>
    <w:rsid w:val="007210AD"/>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52D"/>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DB3"/>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52D"/>
    <w:rsid w:val="008E4BB6"/>
    <w:rsid w:val="008E5518"/>
    <w:rsid w:val="008E6A84"/>
    <w:rsid w:val="008E7E7A"/>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0C9"/>
    <w:rsid w:val="009273B3"/>
    <w:rsid w:val="009305B5"/>
    <w:rsid w:val="009378DD"/>
    <w:rsid w:val="009429D5"/>
    <w:rsid w:val="00942BF1"/>
    <w:rsid w:val="00945180"/>
    <w:rsid w:val="00945428"/>
    <w:rsid w:val="0094607B"/>
    <w:rsid w:val="00953192"/>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1B68"/>
    <w:rsid w:val="00B049AF"/>
    <w:rsid w:val="00B05B7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4F9"/>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D16"/>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5B8"/>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F26"/>
    <w:rsid w:val="00FD59EB"/>
    <w:rsid w:val="00FD7299"/>
    <w:rsid w:val="00FE1FBE"/>
    <w:rsid w:val="00FE3901"/>
    <w:rsid w:val="00FE39D3"/>
    <w:rsid w:val="00FE4BCE"/>
    <w:rsid w:val="00FE54AE"/>
    <w:rsid w:val="00FE576A"/>
    <w:rsid w:val="00FE7E79"/>
    <w:rsid w:val="00FF35C6"/>
    <w:rsid w:val="00FF3E7D"/>
    <w:rsid w:val="00FF5B99"/>
    <w:rsid w:val="00FF730C"/>
    <w:rsid w:val="00FF73F4"/>
    <w:rsid w:val="00FF7CE4"/>
    <w:rsid w:val="00FF7E39"/>
    <w:rsid w:val="066349EB"/>
    <w:rsid w:val="16E73E0A"/>
    <w:rsid w:val="41190BDD"/>
    <w:rsid w:val="47150F49"/>
    <w:rsid w:val="4C4101D8"/>
    <w:rsid w:val="55C51918"/>
    <w:rsid w:val="6A974EF2"/>
    <w:rsid w:val="6E753F77"/>
    <w:rsid w:val="7CB42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段 Char"/>
    <w:link w:val="231"/>
    <w:qFormat/>
    <w:uiPriority w:val="0"/>
    <w:rPr>
      <w:rFonts w:ascii="宋体"/>
    </w:rPr>
  </w:style>
  <w:style w:type="paragraph" w:customStyle="1" w:styleId="231">
    <w:name w:val="段"/>
    <w:link w:val="230"/>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paragraph" w:customStyle="1" w:styleId="232">
    <w:name w:val="章标题"/>
    <w:next w:val="231"/>
    <w:qFormat/>
    <w:uiPriority w:val="0"/>
    <w:pPr>
      <w:spacing w:before="312" w:beforeLines="100" w:after="312" w:afterLines="100"/>
      <w:jc w:val="both"/>
      <w:outlineLvl w:val="1"/>
    </w:pPr>
    <w:rPr>
      <w:rFonts w:ascii="黑体" w:hAnsi="Calibri"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EDA5B9D2A840F4965A979D7D4A1BC4"/>
        <w:style w:val=""/>
        <w:category>
          <w:name w:val="常规"/>
          <w:gallery w:val="placeholder"/>
        </w:category>
        <w:types>
          <w:type w:val="bbPlcHdr"/>
        </w:types>
        <w:behaviors>
          <w:behavior w:val="content"/>
        </w:behaviors>
        <w:description w:val=""/>
        <w:guid w:val="{C5563CB1-A06F-471E-9B3F-AA4F4B8B2525}"/>
      </w:docPartPr>
      <w:docPartBody>
        <w:p w14:paraId="587FC411">
          <w:pPr>
            <w:pStyle w:val="5"/>
          </w:pPr>
          <w:r>
            <w:rPr>
              <w:rStyle w:val="4"/>
              <w:rFonts w:hint="eastAsia"/>
            </w:rPr>
            <w:t>单击或点击此处输入文字。</w:t>
          </w:r>
        </w:p>
      </w:docPartBody>
    </w:docPart>
    <w:docPart>
      <w:docPartPr>
        <w:name w:val="45DC420E280F414AA601F4C475C53C13"/>
        <w:style w:val=""/>
        <w:category>
          <w:name w:val="常规"/>
          <w:gallery w:val="placeholder"/>
        </w:category>
        <w:types>
          <w:type w:val="bbPlcHdr"/>
        </w:types>
        <w:behaviors>
          <w:behavior w:val="content"/>
        </w:behaviors>
        <w:description w:val=""/>
        <w:guid w:val="{8153745C-34F0-4A2C-BC51-1F65A7E4A013}"/>
      </w:docPartPr>
      <w:docPartBody>
        <w:p w14:paraId="6A09322E">
          <w:pPr>
            <w:pStyle w:val="6"/>
          </w:pPr>
          <w:r>
            <w:rPr>
              <w:rStyle w:val="4"/>
              <w:rFonts w:hint="eastAsia"/>
            </w:rPr>
            <w:t>选择一项。</w:t>
          </w:r>
        </w:p>
      </w:docPartBody>
    </w:docPart>
    <w:docPart>
      <w:docPartPr>
        <w:name w:val="4DFA56F99F0E49CD84128E38448020A9"/>
        <w:style w:val=""/>
        <w:category>
          <w:name w:val="常规"/>
          <w:gallery w:val="placeholder"/>
        </w:category>
        <w:types>
          <w:type w:val="bbPlcHdr"/>
        </w:types>
        <w:behaviors>
          <w:behavior w:val="content"/>
        </w:behaviors>
        <w:description w:val=""/>
        <w:guid w:val="{310C9350-E596-45E8-8EB9-CF17B086D3C6}"/>
      </w:docPartPr>
      <w:docPartBody>
        <w:p w14:paraId="56DB0947">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999"/>
    <w:rsid w:val="002F3ABF"/>
    <w:rsid w:val="003D2465"/>
    <w:rsid w:val="00430999"/>
    <w:rsid w:val="00F82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6AEDA5B9D2A840F4965A979D7D4A1BC4"/>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45DC420E280F414AA601F4C475C53C1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4DFA56F99F0E49CD84128E38448020A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E51BD4-067A-4D97-9887-51D6F6CEAAB4}">
  <ds:schemaRefs/>
</ds:datastoreItem>
</file>

<file path=docProps/app.xml><?xml version="1.0" encoding="utf-8"?>
<Properties xmlns="http://schemas.openxmlformats.org/officeDocument/2006/extended-properties" xmlns:vt="http://schemas.openxmlformats.org/officeDocument/2006/docPropsVTypes">
  <Template>团体标准.dotx</Template>
  <Pages>6</Pages>
  <Words>2398</Words>
  <Characters>2795</Characters>
  <Lines>25</Lines>
  <Paragraphs>7</Paragraphs>
  <TotalTime>0</TotalTime>
  <ScaleCrop>false</ScaleCrop>
  <LinksUpToDate>false</LinksUpToDate>
  <CharactersWithSpaces>2862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2026-07-29T13:09:00Z</dcterms:created>
  <dc:creator>马晓燕</dc:creator>
  <cp:lastModifiedBy>caia</cp:lastModifiedBy>
  <cp:lastPrinted>2021-02-02T08:22:00Z</cp:lastPrinted>
  <dcterms:modified xsi:type="dcterms:W3CDTF">2026-08-17T02:45:23Z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eyJoZGlkIjoiN2IxZjI5ZDdhYzUzNTY1MzE5MGRjY2M0NDQ3OTk0MjgiLCJ1c2VySWQiOiI0NjIxOTUwMjYifQ==</vt:lpwstr>
  </property>
  <property fmtid="{D5CDD505-2E9C-101B-9397-08002B2CF9AE}" pid="15" name="KSOProductBuildVer">
    <vt:lpwstr>2052-12.1.0.28043</vt:lpwstr>
  </property>
  <property fmtid="{D5CDD505-2E9C-101B-9397-08002B2CF9AE}" pid="16" name="ICV">
    <vt:lpwstr>CAE9425EAE0542A198E75652C4F29914_13</vt:lpwstr>
  </property>
</Properties>
</file>